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A80E79E"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DB2A47">
                                  <w:rPr>
                                    <w:rFonts w:cs="Arial"/>
                                    <w:b/>
                                    <w:color w:val="auto"/>
                                    <w:sz w:val="40"/>
                                    <w:szCs w:val="56"/>
                                    <w:lang w:val="ka-GE"/>
                                  </w:rPr>
                                  <w:t>თეთრი მონიტორების</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2A80E79E"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DB2A47">
                            <w:rPr>
                              <w:rFonts w:cs="Arial"/>
                              <w:b/>
                              <w:color w:val="auto"/>
                              <w:sz w:val="40"/>
                              <w:szCs w:val="56"/>
                              <w:lang w:val="ka-GE"/>
                            </w:rPr>
                            <w:t>თეთრი მონიტორების</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4CAC774F" w:rsidR="00B9072A" w:rsidRDefault="00DB2A47" w:rsidP="00F12A43">
                                      <w:pPr>
                                        <w:rPr>
                                          <w:lang w:val="ka-GE"/>
                                        </w:rPr>
                                      </w:pPr>
                                      <w:r>
                                        <w:rPr>
                                          <w:lang w:val="ka-GE"/>
                                        </w:rPr>
                                        <w:t>28</w:t>
                                      </w:r>
                                      <w:r w:rsidR="004E6505">
                                        <w:rPr>
                                          <w:lang w:val="ka-GE"/>
                                        </w:rPr>
                                        <w:t xml:space="preserve"> </w:t>
                                      </w:r>
                                      <w:r>
                                        <w:rPr>
                                          <w:lang w:val="ka-GE"/>
                                        </w:rPr>
                                        <w:t>ოქტომბრი</w:t>
                                      </w:r>
                                      <w:r w:rsidR="0041678D">
                                        <w:rPr>
                                          <w:lang w:val="ka-GE"/>
                                        </w:rPr>
                                        <w:t xml:space="preserve"> 2024</w:t>
                                      </w:r>
                                    </w:p>
                                    <w:p w14:paraId="5273460A" w14:textId="386E2D59" w:rsidR="0041678D" w:rsidRPr="00415C7C" w:rsidRDefault="00DB2A47" w:rsidP="00DB2A47">
                                      <w:pPr>
                                        <w:rPr>
                                          <w:lang w:val="ka-GE"/>
                                        </w:rPr>
                                      </w:pPr>
                                      <w:r>
                                        <w:rPr>
                                          <w:lang w:val="ka-GE"/>
                                        </w:rPr>
                                        <w:t>4</w:t>
                                      </w:r>
                                      <w:r w:rsidR="004E6505">
                                        <w:rPr>
                                          <w:lang w:val="ka-GE"/>
                                        </w:rPr>
                                        <w:t xml:space="preserve"> </w:t>
                                      </w:r>
                                      <w:r>
                                        <w:rPr>
                                          <w:lang w:val="ka-GE"/>
                                        </w:rPr>
                                        <w:t>ნოემბერი</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A36390"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4CAC774F" w:rsidR="00B9072A" w:rsidRDefault="00DB2A47" w:rsidP="00F12A43">
                                <w:pPr>
                                  <w:rPr>
                                    <w:lang w:val="ka-GE"/>
                                  </w:rPr>
                                </w:pPr>
                                <w:r>
                                  <w:rPr>
                                    <w:lang w:val="ka-GE"/>
                                  </w:rPr>
                                  <w:t>28</w:t>
                                </w:r>
                                <w:r w:rsidR="004E6505">
                                  <w:rPr>
                                    <w:lang w:val="ka-GE"/>
                                  </w:rPr>
                                  <w:t xml:space="preserve"> </w:t>
                                </w:r>
                                <w:r>
                                  <w:rPr>
                                    <w:lang w:val="ka-GE"/>
                                  </w:rPr>
                                  <w:t>ოქტომბრი</w:t>
                                </w:r>
                                <w:r w:rsidR="0041678D">
                                  <w:rPr>
                                    <w:lang w:val="ka-GE"/>
                                  </w:rPr>
                                  <w:t xml:space="preserve"> 2024</w:t>
                                </w:r>
                              </w:p>
                              <w:p w14:paraId="5273460A" w14:textId="386E2D59" w:rsidR="0041678D" w:rsidRPr="00415C7C" w:rsidRDefault="00DB2A47" w:rsidP="00DB2A47">
                                <w:pPr>
                                  <w:rPr>
                                    <w:lang w:val="ka-GE"/>
                                  </w:rPr>
                                </w:pPr>
                                <w:r>
                                  <w:rPr>
                                    <w:lang w:val="ka-GE"/>
                                  </w:rPr>
                                  <w:t>4</w:t>
                                </w:r>
                                <w:r w:rsidR="004E6505">
                                  <w:rPr>
                                    <w:lang w:val="ka-GE"/>
                                  </w:rPr>
                                  <w:t xml:space="preserve"> </w:t>
                                </w:r>
                                <w:r>
                                  <w:rPr>
                                    <w:lang w:val="ka-GE"/>
                                  </w:rPr>
                                  <w:t>ნოემბერი</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A36390"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6DF75D0" w14:textId="77777777" w:rsidR="00DB2A47" w:rsidRPr="00B9072A" w:rsidRDefault="00DB2A47" w:rsidP="00DB2A47">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თეთრი მონიტორების</w:t>
      </w:r>
      <w:r>
        <w:rPr>
          <w:rFonts w:cs="Arial"/>
          <w:b/>
          <w:color w:val="auto"/>
          <w:sz w:val="40"/>
          <w:szCs w:val="56"/>
        </w:rPr>
        <w:t xml:space="preserve"> </w:t>
      </w:r>
      <w:proofErr w:type="spellStart"/>
      <w:r>
        <w:rPr>
          <w:rFonts w:cs="Arial"/>
          <w:b/>
          <w:color w:val="auto"/>
          <w:sz w:val="40"/>
          <w:szCs w:val="56"/>
        </w:rPr>
        <w:t>შესყიდვისთვის</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A36390">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A36390">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A36390">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A36390">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ხელშეკრულების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შემოთავაზებული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ბანკი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proofErr w:type="gramStart"/>
      <w:r w:rsidRPr="0041678D">
        <w:rPr>
          <w:rFonts w:eastAsia="Times New Roman" w:cs="Sylfaen"/>
          <w:color w:val="141B3D"/>
        </w:rPr>
        <w:t>სატენდერო</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0E924CFF"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 xml:space="preserve">განისაზღვროს პრეტედენტის მიერ, არნაკლებ </w:t>
      </w:r>
      <w:r w:rsidR="00DB2A47">
        <w:rPr>
          <w:rFonts w:cs="Sylfaen"/>
        </w:rPr>
        <w:t xml:space="preserve">2 </w:t>
      </w:r>
      <w:r w:rsidR="00DB2A47">
        <w:rPr>
          <w:rFonts w:cs="Sylfaen"/>
          <w:lang w:val="ka-GE"/>
        </w:rPr>
        <w:t>წლით.</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6A476B67"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 xml:space="preserve">მიწოდება </w:t>
      </w:r>
      <w:r>
        <w:rPr>
          <w:rFonts w:cs="Sylfaen"/>
          <w:lang w:val="ka-GE"/>
        </w:rPr>
        <w:t xml:space="preserve">უნდა მოხდეს </w:t>
      </w:r>
      <w:r w:rsidR="00DB2A47">
        <w:rPr>
          <w:rFonts w:cs="Sylfaen"/>
          <w:lang w:val="ka-GE"/>
        </w:rPr>
        <w:t>ბანკის მოთხოვნის შესაბამისად, ხელშეკრულებით გათვალისწინებული რაოდენობის ამოწურვამდე, არაუმეტეს 1 წლის განმავლობაში.</w:t>
      </w:r>
    </w:p>
    <w:p w14:paraId="488315C6" w14:textId="77777777" w:rsidR="00A00A1C" w:rsidRPr="00DB2A47" w:rsidRDefault="00B9072A" w:rsidP="00BE20C1">
      <w:pPr>
        <w:pStyle w:val="ListParagraph"/>
        <w:numPr>
          <w:ilvl w:val="0"/>
          <w:numId w:val="15"/>
        </w:numPr>
        <w:shd w:val="clear" w:color="auto" w:fill="FFFFFF"/>
        <w:spacing w:after="200" w:line="276" w:lineRule="auto"/>
        <w:jc w:val="left"/>
        <w:rPr>
          <w:rFonts w:eastAsia="Times New Roman" w:cs="Sylfaen"/>
          <w:color w:val="141B3D"/>
          <w:lang w:val="ka-GE"/>
        </w:rPr>
      </w:pPr>
      <w:proofErr w:type="spellStart"/>
      <w:proofErr w:type="gramStart"/>
      <w:r w:rsidRPr="000B4344">
        <w:rPr>
          <w:rFonts w:eastAsia="Times New Roman" w:cs="Sylfaen"/>
          <w:b/>
          <w:color w:val="141B3D"/>
        </w:rPr>
        <w:t>სარეკომენდაციო</w:t>
      </w:r>
      <w:proofErr w:type="spellEnd"/>
      <w:proofErr w:type="gramEnd"/>
      <w:r w:rsidRPr="000B4344">
        <w:rPr>
          <w:rFonts w:ascii="Arial" w:eastAsia="Times New Roman" w:hAnsi="Arial" w:cs="Arial"/>
          <w:b/>
          <w:color w:val="141B3D"/>
        </w:rPr>
        <w:t xml:space="preserve"> </w:t>
      </w:r>
      <w:proofErr w:type="spellStart"/>
      <w:r w:rsidRPr="000B4344">
        <w:rPr>
          <w:rFonts w:eastAsia="Times New Roman" w:cs="Sylfaen"/>
          <w:b/>
          <w:color w:val="141B3D"/>
        </w:rPr>
        <w:t>წერილი</w:t>
      </w:r>
      <w:proofErr w:type="spellEnd"/>
      <w:r w:rsidRPr="000B4344">
        <w:rPr>
          <w:rFonts w:ascii="Arial" w:eastAsia="Times New Roman" w:hAnsi="Arial" w:cs="Arial"/>
          <w:b/>
          <w:color w:val="141B3D"/>
        </w:rPr>
        <w:t>:</w:t>
      </w:r>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ოფიციალური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ხაზით</w:t>
      </w:r>
      <w:proofErr w:type="spellEnd"/>
      <w:r w:rsidRPr="00A00A1C">
        <w:rPr>
          <w:rFonts w:ascii="Arial" w:eastAsia="Times New Roman" w:hAnsi="Arial" w:cs="Arial"/>
          <w:color w:val="141B3D"/>
        </w:rPr>
        <w:t>.</w:t>
      </w:r>
      <w:r w:rsidR="00E73F6F" w:rsidRPr="00A00A1C">
        <w:rPr>
          <w:rFonts w:asciiTheme="minorHAnsi" w:eastAsia="Times New Roman" w:hAnsiTheme="minorHAnsi" w:cs="Arial"/>
          <w:color w:val="141B3D"/>
          <w:lang w:val="ka-GE"/>
        </w:rPr>
        <w:t xml:space="preserve"> </w:t>
      </w:r>
    </w:p>
    <w:p w14:paraId="5AF0F354" w14:textId="2B77B0F2" w:rsidR="00DB2A47" w:rsidRPr="00DB2A47" w:rsidRDefault="00DB2A47" w:rsidP="00BE20C1">
      <w:pPr>
        <w:pStyle w:val="ListParagraph"/>
        <w:numPr>
          <w:ilvl w:val="0"/>
          <w:numId w:val="15"/>
        </w:numPr>
        <w:shd w:val="clear" w:color="auto" w:fill="FFFFFF"/>
        <w:spacing w:after="200" w:line="276" w:lineRule="auto"/>
        <w:jc w:val="left"/>
        <w:rPr>
          <w:rFonts w:eastAsia="Times New Roman" w:cs="Sylfaen"/>
          <w:color w:val="141B3D"/>
          <w:lang w:val="ka-GE"/>
        </w:rPr>
      </w:pPr>
      <w:r w:rsidRPr="000D3322">
        <w:rPr>
          <w:rFonts w:eastAsia="Times New Roman" w:cs="Sylfaen"/>
          <w:color w:val="141B3D"/>
          <w:lang w:val="ka-GE"/>
        </w:rPr>
        <w:t xml:space="preserve">შემოთავაზებული </w:t>
      </w:r>
      <w:r w:rsidRPr="00DB2A47">
        <w:rPr>
          <w:rFonts w:eastAsia="Times New Roman" w:cs="Sylfaen"/>
          <w:color w:val="141B3D"/>
          <w:lang w:val="ka-GE"/>
        </w:rPr>
        <w:t xml:space="preserve">ტექნიკა </w:t>
      </w:r>
      <w:r w:rsidRPr="000D3322">
        <w:rPr>
          <w:rFonts w:eastAsia="Times New Roman" w:cs="Sylfaen"/>
          <w:b/>
          <w:color w:val="141B3D"/>
          <w:lang w:val="ka-GE"/>
        </w:rPr>
        <w:t>გაიტესტება</w:t>
      </w:r>
      <w:r w:rsidR="000D3322">
        <w:rPr>
          <w:rFonts w:eastAsia="Times New Roman" w:cs="Sylfaen"/>
          <w:b/>
          <w:color w:val="141B3D"/>
          <w:lang w:val="ka-GE"/>
        </w:rPr>
        <w:t xml:space="preserve"> 5 დღის ვადაში, მნიშვნელოვანია რომ მონიტორები თავსებადი იყოს</w:t>
      </w:r>
      <w:r w:rsidRPr="000D3322">
        <w:rPr>
          <w:rFonts w:eastAsia="Times New Roman" w:cs="Sylfaen"/>
          <w:b/>
          <w:color w:val="141B3D"/>
          <w:lang w:val="ka-GE"/>
        </w:rPr>
        <w:t xml:space="preserve"> </w:t>
      </w:r>
      <w:r w:rsidRPr="00DB2A47">
        <w:rPr>
          <w:rFonts w:eastAsia="Times New Roman" w:cs="Sylfaen"/>
          <w:color w:val="141B3D"/>
          <w:lang w:val="ka-GE"/>
        </w:rPr>
        <w:t>VDI</w:t>
      </w:r>
      <w:r w:rsidR="000D3322">
        <w:rPr>
          <w:rFonts w:eastAsia="Times New Roman" w:cs="Sylfaen"/>
          <w:color w:val="141B3D"/>
          <w:lang w:val="ka-GE"/>
        </w:rPr>
        <w:t>(სისტემურ ბლოკთან)</w:t>
      </w:r>
      <w:r w:rsidRPr="00DB2A47">
        <w:rPr>
          <w:rFonts w:eastAsia="Times New Roman" w:cs="Sylfaen"/>
          <w:color w:val="141B3D"/>
          <w:lang w:val="ka-GE"/>
        </w:rPr>
        <w:t>-</w:t>
      </w:r>
      <w:r w:rsidR="000D3322">
        <w:rPr>
          <w:rFonts w:eastAsia="Times New Roman" w:cs="Sylfaen"/>
          <w:color w:val="141B3D"/>
          <w:lang w:val="ka-GE"/>
        </w:rPr>
        <w:t>სთან. ტესტირების შემდეგ</w:t>
      </w:r>
      <w:r>
        <w:rPr>
          <w:rFonts w:eastAsia="Times New Roman" w:cs="Sylfaen"/>
          <w:color w:val="141B3D"/>
          <w:lang w:val="ka-GE"/>
        </w:rPr>
        <w:t xml:space="preserve"> გამოვლინდება გამარჯვებული პრეტედენტი.</w:t>
      </w:r>
    </w:p>
    <w:p w14:paraId="1FC178BF" w14:textId="5A013E69" w:rsidR="00DB2A47" w:rsidRPr="00A00A1C" w:rsidRDefault="000D3322" w:rsidP="00BE20C1">
      <w:pPr>
        <w:pStyle w:val="ListParagraph"/>
        <w:numPr>
          <w:ilvl w:val="0"/>
          <w:numId w:val="15"/>
        </w:numPr>
        <w:shd w:val="clear" w:color="auto" w:fill="FFFFFF"/>
        <w:spacing w:after="200" w:line="276" w:lineRule="auto"/>
        <w:jc w:val="left"/>
        <w:rPr>
          <w:rFonts w:eastAsia="Times New Roman" w:cs="Sylfaen"/>
          <w:color w:val="141B3D"/>
          <w:lang w:val="ka-GE"/>
        </w:rPr>
      </w:pPr>
      <w:r w:rsidRPr="000D3322">
        <w:rPr>
          <w:rFonts w:eastAsia="Times New Roman" w:cs="Sylfaen"/>
          <w:b/>
          <w:color w:val="141B3D"/>
          <w:lang w:val="ka-GE"/>
        </w:rPr>
        <w:t>ბანკი იტოვებს უფლებას</w:t>
      </w:r>
      <w:r>
        <w:rPr>
          <w:rFonts w:eastAsia="Times New Roman" w:cs="Sylfaen"/>
          <w:color w:val="141B3D"/>
          <w:lang w:val="ka-GE"/>
        </w:rPr>
        <w:t xml:space="preserve"> ხელშეკრულების მოქმედების პერიოდში დამატებით შეისყიდოს ხელშეკრულებაში გათვალისწინებულ ჯამური რაოდენობის 25% ხელშეკრულებით გათვალისიწნებულ ფასად.</w:t>
      </w:r>
    </w:p>
    <w:p w14:paraId="40A1077F" w14:textId="7CA96F98" w:rsidR="000B4344" w:rsidRPr="000B4344" w:rsidRDefault="000B4344" w:rsidP="000B4344">
      <w:pPr>
        <w:keepNext/>
        <w:keepLines/>
        <w:spacing w:before="180" w:after="120"/>
        <w:ind w:left="360" w:hanging="360"/>
        <w:outlineLvl w:val="0"/>
        <w:rPr>
          <w:rFonts w:eastAsiaTheme="majorEastAsia" w:cstheme="majorBidi"/>
          <w:b/>
          <w:color w:val="FF671B"/>
          <w:sz w:val="24"/>
          <w:szCs w:val="28"/>
          <w:lang w:val="ka-GE" w:eastAsia="ja-JP"/>
        </w:rPr>
      </w:pPr>
      <w:r w:rsidRPr="000B4344">
        <w:rPr>
          <w:rFonts w:eastAsiaTheme="majorEastAsia" w:cstheme="majorBidi"/>
          <w:b/>
          <w:color w:val="FF671B"/>
          <w:sz w:val="24"/>
          <w:szCs w:val="28"/>
          <w:lang w:val="ka-GE" w:eastAsia="ja-JP"/>
        </w:rPr>
        <w:t>შეფასების კრიტერიუმები</w:t>
      </w:r>
    </w:p>
    <w:p w14:paraId="10E8B875" w14:textId="3DCC1FE9" w:rsidR="00A13039" w:rsidRDefault="000B4344" w:rsidP="000B4344">
      <w:pPr>
        <w:pStyle w:val="ListParagraph"/>
        <w:numPr>
          <w:ilvl w:val="0"/>
          <w:numId w:val="27"/>
        </w:numPr>
        <w:rPr>
          <w:lang w:val="ka-GE"/>
        </w:rPr>
      </w:pPr>
      <w:r>
        <w:rPr>
          <w:lang w:val="ka-GE"/>
        </w:rPr>
        <w:t>ღირებულება</w:t>
      </w:r>
      <w:r w:rsidR="00DB2A47">
        <w:rPr>
          <w:lang w:val="ka-GE"/>
        </w:rPr>
        <w:t xml:space="preserve"> - 7</w:t>
      </w:r>
      <w:r>
        <w:rPr>
          <w:lang w:val="ka-GE"/>
        </w:rPr>
        <w:t>0%</w:t>
      </w:r>
    </w:p>
    <w:p w14:paraId="4DFE3C1C" w14:textId="7125CC99" w:rsidR="000B4344" w:rsidRDefault="000B4344" w:rsidP="000B4344">
      <w:pPr>
        <w:pStyle w:val="ListParagraph"/>
        <w:numPr>
          <w:ilvl w:val="0"/>
          <w:numId w:val="27"/>
        </w:numPr>
        <w:rPr>
          <w:lang w:val="ka-GE"/>
        </w:rPr>
      </w:pPr>
      <w:r>
        <w:rPr>
          <w:lang w:val="ka-GE"/>
        </w:rPr>
        <w:t>მოწოდების ვადა</w:t>
      </w:r>
      <w:r w:rsidR="00DB2A47">
        <w:rPr>
          <w:lang w:val="ka-GE"/>
        </w:rPr>
        <w:t xml:space="preserve"> - 3</w:t>
      </w:r>
      <w:r>
        <w:rPr>
          <w:lang w:val="ka-GE"/>
        </w:rPr>
        <w:t>0%</w:t>
      </w: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731845A8"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11371" w:type="dxa"/>
        <w:tblLook w:val="04A0" w:firstRow="1" w:lastRow="0" w:firstColumn="1" w:lastColumn="0" w:noHBand="0" w:noVBand="1"/>
      </w:tblPr>
      <w:tblGrid>
        <w:gridCol w:w="1595"/>
        <w:gridCol w:w="4245"/>
        <w:gridCol w:w="879"/>
        <w:gridCol w:w="1504"/>
        <w:gridCol w:w="1272"/>
        <w:gridCol w:w="1876"/>
      </w:tblGrid>
      <w:tr w:rsidR="006B49EF" w:rsidRPr="006B49EF" w14:paraId="4D0B9235" w14:textId="77777777" w:rsidTr="00DB2A47">
        <w:trPr>
          <w:trHeight w:val="406"/>
        </w:trPr>
        <w:tc>
          <w:tcPr>
            <w:tcW w:w="1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2A76E2" w:rsidRDefault="006B49EF"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42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87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26ABF9" w14:textId="77777777" w:rsidR="006B49EF" w:rsidRDefault="00DB2A47" w:rsidP="00DB2A47">
            <w:pPr>
              <w:jc w:val="center"/>
              <w:rPr>
                <w:rFonts w:ascii="BOG 2017" w:eastAsia="Times New Roman" w:hAnsi="BOG 2017" w:cs="Sylfaen"/>
                <w:sz w:val="18"/>
                <w:szCs w:val="18"/>
              </w:rPr>
            </w:pPr>
            <w:r>
              <w:rPr>
                <w:rFonts w:ascii="BOG 2017" w:eastAsia="Times New Roman" w:hAnsi="BOG 2017" w:cs="Sylfaen"/>
                <w:sz w:val="18"/>
                <w:szCs w:val="18"/>
              </w:rPr>
              <w:t>Price</w:t>
            </w:r>
          </w:p>
          <w:p w14:paraId="28E1FB42" w14:textId="5F659A18" w:rsidR="00260D32" w:rsidRPr="00260D32" w:rsidRDefault="00260D32" w:rsidP="00DB2A47">
            <w:pPr>
              <w:jc w:val="center"/>
              <w:rPr>
                <w:rFonts w:asciiTheme="minorHAnsi" w:eastAsia="Times New Roman" w:hAnsiTheme="minorHAnsi" w:cs="Calibri"/>
                <w:sz w:val="18"/>
                <w:szCs w:val="18"/>
              </w:rPr>
            </w:pPr>
            <w:r>
              <w:rPr>
                <w:rFonts w:asciiTheme="minorHAnsi" w:eastAsia="Times New Roman" w:hAnsiTheme="minorHAnsi" w:cs="Sylfaen"/>
                <w:sz w:val="18"/>
                <w:szCs w:val="18"/>
                <w:lang w:val="ka-GE"/>
              </w:rPr>
              <w:t>(</w:t>
            </w:r>
            <w:r>
              <w:rPr>
                <w:rFonts w:asciiTheme="minorHAnsi" w:eastAsia="Times New Roman" w:hAnsiTheme="minorHAnsi" w:cs="Sylfaen"/>
                <w:sz w:val="18"/>
                <w:szCs w:val="18"/>
              </w:rPr>
              <w:t>USD)</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B49EF" w:rsidRPr="006B49EF" w14:paraId="3F3A8602" w14:textId="77777777" w:rsidTr="00DB2A47">
        <w:trPr>
          <w:trHeight w:val="257"/>
        </w:trPr>
        <w:tc>
          <w:tcPr>
            <w:tcW w:w="1595"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2A76E2" w:rsidRDefault="006B49EF" w:rsidP="006B49EF">
            <w:pPr>
              <w:jc w:val="left"/>
              <w:rPr>
                <w:rFonts w:ascii="BOG 2017" w:eastAsia="Times New Roman" w:hAnsi="BOG 2017" w:cs="Calibri"/>
                <w:sz w:val="18"/>
                <w:szCs w:val="18"/>
              </w:rPr>
            </w:pPr>
          </w:p>
        </w:tc>
        <w:tc>
          <w:tcPr>
            <w:tcW w:w="4245"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2A76E2" w:rsidRDefault="006B49EF" w:rsidP="006B49EF">
            <w:pPr>
              <w:jc w:val="left"/>
              <w:rPr>
                <w:rFonts w:ascii="BOG 2017" w:eastAsia="Times New Roman" w:hAnsi="BOG 2017" w:cs="Calibri"/>
                <w:sz w:val="18"/>
                <w:szCs w:val="18"/>
              </w:rPr>
            </w:pPr>
          </w:p>
        </w:tc>
        <w:tc>
          <w:tcPr>
            <w:tcW w:w="879"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2A76E2" w:rsidRDefault="006B49EF" w:rsidP="006B49EF">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2A76E2" w:rsidRDefault="006B49EF" w:rsidP="006B49EF">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2A76E2" w:rsidRDefault="006B49EF" w:rsidP="006B49EF">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2A76E2" w:rsidRDefault="006B49EF" w:rsidP="006B49EF">
            <w:pPr>
              <w:jc w:val="left"/>
              <w:rPr>
                <w:rFonts w:ascii="BOG 2017" w:eastAsia="Times New Roman" w:hAnsi="BOG 2017" w:cs="Calibri"/>
                <w:sz w:val="18"/>
                <w:szCs w:val="18"/>
              </w:rPr>
            </w:pPr>
          </w:p>
        </w:tc>
      </w:tr>
      <w:tr w:rsidR="006B49EF" w:rsidRPr="006B49EF" w14:paraId="354AFA8A" w14:textId="77777777" w:rsidTr="00DB2A47">
        <w:trPr>
          <w:trHeight w:val="223"/>
        </w:trPr>
        <w:tc>
          <w:tcPr>
            <w:tcW w:w="1595" w:type="dxa"/>
            <w:tcBorders>
              <w:top w:val="nil"/>
              <w:left w:val="single" w:sz="8" w:space="0" w:color="auto"/>
              <w:bottom w:val="single" w:sz="8" w:space="0" w:color="auto"/>
              <w:right w:val="single" w:sz="8" w:space="0" w:color="auto"/>
            </w:tcBorders>
            <w:shd w:val="clear" w:color="auto" w:fill="auto"/>
            <w:vAlign w:val="center"/>
            <w:hideMark/>
          </w:tcPr>
          <w:p w14:paraId="7DBC1586" w14:textId="763BBFB0" w:rsidR="006B49EF" w:rsidRPr="002A76E2" w:rsidRDefault="00DB2A47" w:rsidP="006B49EF">
            <w:pPr>
              <w:jc w:val="left"/>
              <w:rPr>
                <w:rFonts w:ascii="BOG 2017" w:eastAsia="Times New Roman" w:hAnsi="BOG 2017" w:cs="Calibri"/>
                <w:sz w:val="18"/>
                <w:szCs w:val="18"/>
              </w:rPr>
            </w:pPr>
            <w:r>
              <w:rPr>
                <w:rFonts w:ascii="BOG 2017" w:eastAsia="Times New Roman" w:hAnsi="BOG 2017" w:cs="Calibri"/>
                <w:sz w:val="18"/>
                <w:szCs w:val="18"/>
              </w:rPr>
              <w:t>Monitor</w:t>
            </w:r>
          </w:p>
        </w:tc>
        <w:tc>
          <w:tcPr>
            <w:tcW w:w="4245" w:type="dxa"/>
            <w:tcBorders>
              <w:top w:val="nil"/>
              <w:left w:val="nil"/>
              <w:bottom w:val="single" w:sz="8" w:space="0" w:color="auto"/>
              <w:right w:val="single" w:sz="8" w:space="0" w:color="auto"/>
            </w:tcBorders>
            <w:shd w:val="clear" w:color="auto" w:fill="auto"/>
            <w:vAlign w:val="center"/>
            <w:hideMark/>
          </w:tcPr>
          <w:p w14:paraId="3392BF40" w14:textId="02030C33" w:rsidR="006B49EF" w:rsidRPr="00DB2A47" w:rsidRDefault="00DB2A47" w:rsidP="00DB2A47">
            <w:pPr>
              <w:jc w:val="left"/>
              <w:rPr>
                <w:rFonts w:asciiTheme="minorHAnsi" w:eastAsia="Times New Roman" w:hAnsiTheme="minorHAnsi" w:cs="Calibri"/>
                <w:sz w:val="18"/>
                <w:szCs w:val="18"/>
              </w:rPr>
            </w:pPr>
            <w:r>
              <w:rPr>
                <w:rFonts w:asciiTheme="minorHAnsi" w:eastAsia="Times New Roman" w:hAnsiTheme="minorHAnsi" w:cs="Calibri"/>
                <w:sz w:val="18"/>
                <w:szCs w:val="18"/>
                <w:lang w:val="ka-GE"/>
              </w:rPr>
              <w:t xml:space="preserve">მინ.მოთხოვნა: </w:t>
            </w:r>
            <w:r w:rsidRPr="00DB2A47">
              <w:rPr>
                <w:rFonts w:asciiTheme="minorHAnsi" w:eastAsia="Times New Roman" w:hAnsiTheme="minorHAnsi" w:cs="Calibri"/>
                <w:sz w:val="18"/>
                <w:szCs w:val="18"/>
                <w:lang w:val="ka-GE"/>
              </w:rPr>
              <w:t>21.5"</w:t>
            </w:r>
            <w:r>
              <w:rPr>
                <w:rFonts w:asciiTheme="minorHAnsi" w:eastAsia="Times New Roman" w:hAnsiTheme="minorHAnsi" w:cs="Calibri"/>
                <w:sz w:val="18"/>
                <w:szCs w:val="18"/>
                <w:lang w:val="ka-GE"/>
              </w:rPr>
              <w:t xml:space="preserve"> </w:t>
            </w:r>
            <w:r w:rsidRPr="00DB2A47">
              <w:rPr>
                <w:rFonts w:asciiTheme="minorHAnsi" w:eastAsia="Times New Roman" w:hAnsiTheme="minorHAnsi" w:cs="Calibri"/>
                <w:b/>
                <w:sz w:val="18"/>
                <w:szCs w:val="18"/>
                <w:lang w:val="ka-GE"/>
              </w:rPr>
              <w:t>ან</w:t>
            </w:r>
            <w:r>
              <w:rPr>
                <w:rFonts w:asciiTheme="minorHAnsi" w:eastAsia="Times New Roman" w:hAnsiTheme="minorHAnsi" w:cs="Calibri"/>
                <w:b/>
                <w:sz w:val="18"/>
                <w:szCs w:val="18"/>
                <w:lang w:val="ka-GE"/>
              </w:rPr>
              <w:t xml:space="preserve"> </w:t>
            </w:r>
            <w:r w:rsidRPr="00DB2A47">
              <w:rPr>
                <w:rFonts w:asciiTheme="minorHAnsi" w:eastAsia="Times New Roman" w:hAnsiTheme="minorHAnsi" w:cs="Calibri"/>
                <w:sz w:val="18"/>
                <w:szCs w:val="18"/>
                <w:lang w:val="ka-GE"/>
              </w:rPr>
              <w:t xml:space="preserve">23.8“ </w:t>
            </w:r>
            <w:r w:rsidRPr="00DB2A47">
              <w:rPr>
                <w:rFonts w:asciiTheme="minorHAnsi" w:eastAsia="Times New Roman" w:hAnsiTheme="minorHAnsi" w:cs="Calibri"/>
                <w:sz w:val="18"/>
                <w:szCs w:val="18"/>
                <w:lang w:val="ka-GE"/>
              </w:rPr>
              <w:t>, 1920x1080,</w:t>
            </w:r>
            <w:r w:rsidR="000D3322">
              <w:rPr>
                <w:rFonts w:asciiTheme="minorHAnsi" w:eastAsia="Times New Roman" w:hAnsiTheme="minorHAnsi" w:cs="Calibri"/>
                <w:sz w:val="18"/>
                <w:szCs w:val="18"/>
                <w:lang w:val="ka-GE"/>
              </w:rPr>
              <w:t xml:space="preserve"> </w:t>
            </w:r>
            <w:r w:rsidR="000D3322">
              <w:rPr>
                <w:rFonts w:asciiTheme="minorHAnsi" w:eastAsia="Times New Roman" w:hAnsiTheme="minorHAnsi" w:cs="Calibri"/>
                <w:sz w:val="18"/>
                <w:szCs w:val="18"/>
              </w:rPr>
              <w:t>Full HD,</w:t>
            </w:r>
            <w:r w:rsidRPr="00DB2A47">
              <w:rPr>
                <w:rFonts w:asciiTheme="minorHAnsi" w:eastAsia="Times New Roman" w:hAnsiTheme="minorHAnsi" w:cs="Calibri"/>
                <w:sz w:val="18"/>
                <w:szCs w:val="18"/>
                <w:lang w:val="ka-GE"/>
              </w:rPr>
              <w:t xml:space="preserve"> LED, Static contrast1000:1", 10 000 000 : 1, 5ms, Viewing Angle 178/178 Ports VGA; HDMI or Display Port, Warranty 2 Years, Color </w:t>
            </w:r>
            <w:r w:rsidRPr="00DB2A47">
              <w:rPr>
                <w:rFonts w:asciiTheme="minorHAnsi" w:eastAsia="Times New Roman" w:hAnsiTheme="minorHAnsi" w:cs="Calibri"/>
                <w:b/>
                <w:sz w:val="18"/>
                <w:szCs w:val="18"/>
              </w:rPr>
              <w:t>White</w:t>
            </w:r>
          </w:p>
        </w:tc>
        <w:tc>
          <w:tcPr>
            <w:tcW w:w="879" w:type="dxa"/>
            <w:tcBorders>
              <w:top w:val="nil"/>
              <w:left w:val="nil"/>
              <w:bottom w:val="single" w:sz="8" w:space="0" w:color="auto"/>
              <w:right w:val="single" w:sz="8" w:space="0" w:color="auto"/>
            </w:tcBorders>
            <w:shd w:val="clear" w:color="auto" w:fill="auto"/>
            <w:vAlign w:val="center"/>
            <w:hideMark/>
          </w:tcPr>
          <w:p w14:paraId="1FBFC09C" w14:textId="4506A083" w:rsidR="006B49EF" w:rsidRPr="000B4344" w:rsidRDefault="00DB2A47" w:rsidP="003900DE">
            <w:pPr>
              <w:jc w:val="center"/>
              <w:rPr>
                <w:rFonts w:ascii="BOG 2017" w:eastAsia="Times New Roman" w:hAnsi="BOG 2017" w:cs="Calibri"/>
                <w:b/>
                <w:sz w:val="18"/>
                <w:szCs w:val="18"/>
              </w:rPr>
            </w:pPr>
            <w:r>
              <w:rPr>
                <w:rFonts w:ascii="BOG 2017" w:eastAsia="Times New Roman" w:hAnsi="BOG 2017" w:cs="Calibri"/>
                <w:b/>
                <w:sz w:val="18"/>
                <w:szCs w:val="18"/>
              </w:rPr>
              <w:t>20</w:t>
            </w:r>
            <w:r w:rsidR="00B305E3" w:rsidRPr="000B4344">
              <w:rPr>
                <w:rFonts w:ascii="BOG 2017" w:eastAsia="Times New Roman" w:hAnsi="BOG 2017" w:cs="Calibri"/>
                <w:b/>
                <w:sz w:val="18"/>
                <w:szCs w:val="18"/>
              </w:rPr>
              <w:t>0</w:t>
            </w:r>
          </w:p>
        </w:tc>
        <w:tc>
          <w:tcPr>
            <w:tcW w:w="1504" w:type="dxa"/>
            <w:tcBorders>
              <w:top w:val="nil"/>
              <w:left w:val="nil"/>
              <w:bottom w:val="single" w:sz="8" w:space="0" w:color="auto"/>
              <w:right w:val="single" w:sz="8" w:space="0" w:color="auto"/>
            </w:tcBorders>
            <w:shd w:val="clear" w:color="auto" w:fill="auto"/>
            <w:vAlign w:val="center"/>
            <w:hideMark/>
          </w:tcPr>
          <w:p w14:paraId="1A4CE9A8" w14:textId="3C54E427" w:rsidR="006B49EF" w:rsidRPr="0090647B" w:rsidRDefault="006B49EF" w:rsidP="006B49EF">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hideMark/>
          </w:tcPr>
          <w:p w14:paraId="13AC825D"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7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w:t>
            </w:r>
            <w:proofErr w:type="spellStart"/>
            <w:r>
              <w:rPr>
                <w:rFonts w:ascii="Calibri" w:eastAsia="Times New Roman" w:hAnsi="Calibri" w:cs="Calibri"/>
                <w:color w:val="000000"/>
                <w:sz w:val="22"/>
                <w:szCs w:val="22"/>
              </w:rPr>
              <w:t>incl</w:t>
            </w:r>
            <w:proofErr w:type="spellEnd"/>
            <w:r>
              <w:rPr>
                <w:rFonts w:ascii="Calibri" w:eastAsia="Times New Roman" w:hAnsi="Calibri" w:cs="Calibri"/>
                <w:color w:val="000000"/>
                <w:sz w:val="22"/>
                <w:szCs w:val="22"/>
              </w:rPr>
              <w:t xml:space="preserve">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40D82B1B" w:rsidR="003900DE" w:rsidRPr="006B49EF" w:rsidRDefault="003900DE" w:rsidP="003900DE">
            <w:pPr>
              <w:jc w:val="center"/>
              <w:rPr>
                <w:rFonts w:eastAsia="Times New Roman" w:cs="Calibri"/>
                <w:color w:val="404040"/>
              </w:rPr>
            </w:pP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43CD0C37" w14:textId="77777777" w:rsidR="000B4344" w:rsidRPr="000B4344" w:rsidRDefault="000B4344">
      <w:pPr>
        <w:jc w:val="left"/>
        <w:rPr>
          <w:sz w:val="18"/>
          <w:lang w:val="ka-GE"/>
        </w:rPr>
      </w:pPr>
    </w:p>
    <w:p w14:paraId="7F8F95F8" w14:textId="1A3A256E" w:rsidR="000B4344" w:rsidRPr="000D3322" w:rsidRDefault="000B4344">
      <w:pPr>
        <w:jc w:val="left"/>
        <w:rPr>
          <w:sz w:val="18"/>
          <w:lang w:val="ka-GE"/>
        </w:rPr>
      </w:pPr>
      <w:r w:rsidRPr="000B4344">
        <w:rPr>
          <w:sz w:val="18"/>
          <w:lang w:val="ka-GE"/>
        </w:rPr>
        <w:t>*შენიშვნა</w:t>
      </w:r>
      <w:r>
        <w:rPr>
          <w:sz w:val="18"/>
          <w:lang w:val="ka-GE"/>
        </w:rPr>
        <w:t xml:space="preserve">: მნიშვნელოვანია რომ </w:t>
      </w:r>
      <w:r w:rsidR="000D3322">
        <w:rPr>
          <w:sz w:val="18"/>
          <w:lang w:val="ka-GE"/>
        </w:rPr>
        <w:t>მონ</w:t>
      </w:r>
      <w:r w:rsidR="00A942A7">
        <w:rPr>
          <w:sz w:val="18"/>
          <w:lang w:val="ka-GE"/>
        </w:rPr>
        <w:t>იტ</w:t>
      </w:r>
      <w:bookmarkStart w:id="8" w:name="_GoBack"/>
      <w:bookmarkEnd w:id="8"/>
      <w:r w:rsidR="000D3322">
        <w:rPr>
          <w:sz w:val="18"/>
          <w:lang w:val="ka-GE"/>
        </w:rPr>
        <w:t>ორები იყოს თეთრი ფერის.</w:t>
      </w:r>
    </w:p>
    <w:p w14:paraId="6A603C8A" w14:textId="42794035" w:rsidR="000B4344" w:rsidRPr="000B4344" w:rsidRDefault="000B4344">
      <w:pPr>
        <w:jc w:val="left"/>
        <w:rPr>
          <w:sz w:val="18"/>
        </w:rPr>
      </w:pPr>
      <w:r>
        <w:rPr>
          <w:sz w:val="18"/>
          <w:lang w:val="ka-GE"/>
        </w:rPr>
        <w:t xml:space="preserve"> </w:t>
      </w:r>
    </w:p>
    <w:p w14:paraId="0CBCD892" w14:textId="339C8285" w:rsidR="000B4344" w:rsidRDefault="000B4344" w:rsidP="000B4344">
      <w:pPr>
        <w:tabs>
          <w:tab w:val="left" w:pos="997"/>
        </w:tabs>
        <w:jc w:val="left"/>
        <w:rPr>
          <w:lang w:val="ka-GE"/>
        </w:rPr>
      </w:pPr>
      <w:r>
        <w:rPr>
          <w:lang w:val="ka-GE"/>
        </w:rPr>
        <w:tab/>
      </w: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F61D2" w14:textId="77777777" w:rsidR="00A36390" w:rsidRDefault="00A36390" w:rsidP="002E7950">
      <w:r>
        <w:separator/>
      </w:r>
    </w:p>
  </w:endnote>
  <w:endnote w:type="continuationSeparator" w:id="0">
    <w:p w14:paraId="3D19979F" w14:textId="77777777" w:rsidR="00A36390" w:rsidRDefault="00A3639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942A7">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942A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FB8D4" w14:textId="77777777" w:rsidR="00A36390" w:rsidRDefault="00A36390" w:rsidP="002E7950">
      <w:r>
        <w:separator/>
      </w:r>
    </w:p>
  </w:footnote>
  <w:footnote w:type="continuationSeparator" w:id="0">
    <w:p w14:paraId="0AAD03D2" w14:textId="77777777" w:rsidR="00A36390" w:rsidRDefault="00A36390"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0CF6348"/>
    <w:multiLevelType w:val="hybridMultilevel"/>
    <w:tmpl w:val="0AEA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3">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DD17F53"/>
    <w:multiLevelType w:val="hybridMultilevel"/>
    <w:tmpl w:val="C9382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3"/>
  </w:num>
  <w:num w:numId="4">
    <w:abstractNumId w:val="14"/>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9"/>
  </w:num>
  <w:num w:numId="9">
    <w:abstractNumId w:val="21"/>
  </w:num>
  <w:num w:numId="10">
    <w:abstractNumId w:val="3"/>
  </w:num>
  <w:num w:numId="11">
    <w:abstractNumId w:val="20"/>
  </w:num>
  <w:num w:numId="12">
    <w:abstractNumId w:val="0"/>
  </w:num>
  <w:num w:numId="13">
    <w:abstractNumId w:val="1"/>
  </w:num>
  <w:num w:numId="14">
    <w:abstractNumId w:val="24"/>
  </w:num>
  <w:num w:numId="15">
    <w:abstractNumId w:val="6"/>
  </w:num>
  <w:num w:numId="16">
    <w:abstractNumId w:val="18"/>
  </w:num>
  <w:num w:numId="17">
    <w:abstractNumId w:val="7"/>
  </w:num>
  <w:num w:numId="18">
    <w:abstractNumId w:val="10"/>
  </w:num>
  <w:num w:numId="19">
    <w:abstractNumId w:val="15"/>
  </w:num>
  <w:num w:numId="20">
    <w:abstractNumId w:val="11"/>
  </w:num>
  <w:num w:numId="21">
    <w:abstractNumId w:val="4"/>
  </w:num>
  <w:num w:numId="22">
    <w:abstractNumId w:val="8"/>
  </w:num>
  <w:num w:numId="23">
    <w:abstractNumId w:val="9"/>
  </w:num>
  <w:num w:numId="24">
    <w:abstractNumId w:val="17"/>
  </w:num>
  <w:num w:numId="25">
    <w:abstractNumId w:val="22"/>
  </w:num>
  <w:num w:numId="26">
    <w:abstractNumId w:val="25"/>
  </w:num>
  <w:num w:numId="2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344"/>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3322"/>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0D32"/>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EE7"/>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61A0"/>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30CA"/>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47B"/>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390"/>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2A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A47"/>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17C"/>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84C59B-D355-4ED5-B7AC-A7BCF6CD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763</Words>
  <Characters>4352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4</cp:revision>
  <cp:lastPrinted>2019-10-17T14:03:00Z</cp:lastPrinted>
  <dcterms:created xsi:type="dcterms:W3CDTF">2024-10-25T15:09:00Z</dcterms:created>
  <dcterms:modified xsi:type="dcterms:W3CDTF">2024-10-25T15:12:00Z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