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DFF91F1" w:rsidR="006F3955" w:rsidRPr="0072667C"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72667C">
                                  <w:rPr>
                                    <w:rFonts w:cs="Arial"/>
                                    <w:b/>
                                    <w:color w:val="auto"/>
                                    <w:sz w:val="40"/>
                                    <w:szCs w:val="56"/>
                                  </w:rPr>
                                  <w:t>GPU server-</w:t>
                                </w:r>
                                <w:r w:rsidR="0072667C">
                                  <w:rPr>
                                    <w:rFonts w:cs="Arial"/>
                                    <w:b/>
                                    <w:color w:val="auto"/>
                                    <w:sz w:val="40"/>
                                    <w:szCs w:val="56"/>
                                    <w:lang w:val="ka-GE"/>
                                  </w:rPr>
                                  <w:t>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3DFF91F1" w:rsidR="006F3955" w:rsidRPr="0072667C"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72667C">
                            <w:rPr>
                              <w:rFonts w:cs="Arial"/>
                              <w:b/>
                              <w:color w:val="auto"/>
                              <w:sz w:val="40"/>
                              <w:szCs w:val="56"/>
                            </w:rPr>
                            <w:t>GPU server-</w:t>
                          </w:r>
                          <w:r w:rsidR="0072667C">
                            <w:rPr>
                              <w:rFonts w:cs="Arial"/>
                              <w:b/>
                              <w:color w:val="auto"/>
                              <w:sz w:val="40"/>
                              <w:szCs w:val="56"/>
                              <w:lang w:val="ka-GE"/>
                            </w:rPr>
                            <w:t>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36A152C1" w:rsidR="006F3955" w:rsidRPr="00415C7C" w:rsidRDefault="00892547"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9"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36A152C1" w:rsidR="006F3955" w:rsidRPr="00415C7C" w:rsidRDefault="00892547"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10"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3A3D9FB0" w:rsidR="00BE6145" w:rsidRPr="0072667C" w:rsidRDefault="00C041F0" w:rsidP="0072667C">
      <w:pPr>
        <w:jc w:val="center"/>
        <w:rPr>
          <w:b/>
          <w:color w:val="E36C0A" w:themeColor="accent6" w:themeShade="BF"/>
          <w:sz w:val="44"/>
          <w:szCs w:val="56"/>
          <w:lang w:val="ka-GE"/>
        </w:rPr>
      </w:pPr>
      <w:r>
        <w:rPr>
          <w:rFonts w:cs="Arial"/>
          <w:b/>
          <w:color w:val="auto"/>
          <w:sz w:val="40"/>
          <w:szCs w:val="56"/>
          <w:lang w:val="af-ZA"/>
        </w:rPr>
        <w:t xml:space="preserve">  </w:t>
      </w:r>
      <w:r w:rsidR="0072667C">
        <w:rPr>
          <w:rFonts w:cs="Arial"/>
          <w:b/>
          <w:color w:val="auto"/>
          <w:sz w:val="40"/>
          <w:szCs w:val="56"/>
          <w:lang w:val="af-ZA"/>
        </w:rPr>
        <w:t xml:space="preserve">  </w:t>
      </w:r>
      <w:r w:rsidR="0072667C">
        <w:rPr>
          <w:rFonts w:cs="Arial"/>
          <w:b/>
          <w:color w:val="auto"/>
          <w:sz w:val="40"/>
          <w:szCs w:val="56"/>
          <w:lang w:val="ka-GE"/>
        </w:rPr>
        <w:t xml:space="preserve">ტენდერი </w:t>
      </w:r>
      <w:r w:rsidR="0072667C">
        <w:rPr>
          <w:rFonts w:cs="Arial"/>
          <w:b/>
          <w:color w:val="auto"/>
          <w:sz w:val="40"/>
          <w:szCs w:val="56"/>
        </w:rPr>
        <w:t>GPU server-</w:t>
      </w:r>
      <w:r w:rsidR="0072667C">
        <w:rPr>
          <w:rFonts w:cs="Arial"/>
          <w:b/>
          <w:color w:val="auto"/>
          <w:sz w:val="40"/>
          <w:szCs w:val="56"/>
          <w:lang w:val="ka-GE"/>
        </w:rPr>
        <w:t>ის 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A732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A732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A732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6A732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7EE4F4EE" w14:textId="77777777" w:rsidR="00C041F0" w:rsidRDefault="00C041F0" w:rsidP="00A66B58">
      <w:pPr>
        <w:rPr>
          <w:lang w:val="ka-GE"/>
        </w:rPr>
      </w:pPr>
    </w:p>
    <w:p w14:paraId="17405FB0" w14:textId="4EA22381" w:rsidR="00C041F0" w:rsidRPr="00A66B58" w:rsidRDefault="00C041F0" w:rsidP="00A66B58">
      <w:pPr>
        <w:rPr>
          <w:lang w:val="ka-GE"/>
        </w:rPr>
      </w:pPr>
      <w:r w:rsidRPr="00C041F0">
        <w:rPr>
          <w:lang w:val="ka-GE"/>
        </w:rPr>
        <w:t xml:space="preserve">ტენდერში განიხილება მითითებული ბრენდები: HPE </w:t>
      </w:r>
      <w:r w:rsidR="0072667C">
        <w:rPr>
          <w:lang w:val="ka-GE"/>
        </w:rPr>
        <w:t xml:space="preserve">Dell, </w:t>
      </w:r>
      <w:r>
        <w:rPr>
          <w:lang w:val="ka-GE"/>
        </w:rPr>
        <w:t>Cisco.</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44E1000" w14:textId="77777777" w:rsidR="00C041F0" w:rsidRDefault="00C041F0" w:rsidP="00A66B58">
      <w:pPr>
        <w:rPr>
          <w:lang w:val="ka-GE"/>
        </w:rPr>
      </w:pPr>
    </w:p>
    <w:p w14:paraId="3FCE4DE0" w14:textId="1ED5213D" w:rsidR="00C041F0" w:rsidRPr="00A66B58" w:rsidRDefault="00C041F0" w:rsidP="00A66B58">
      <w:pPr>
        <w:rPr>
          <w:lang w:val="ka-GE"/>
        </w:rPr>
      </w:pPr>
      <w:r>
        <w:rPr>
          <w:lang w:val="ka-GE"/>
        </w:rPr>
        <w:t xml:space="preserve">ტენდერში დაფიქსირებული </w:t>
      </w:r>
      <w:r w:rsidRPr="00C041F0">
        <w:t xml:space="preserve">წინადადება ძალაში უნდა იყოს: </w:t>
      </w:r>
      <w:r>
        <w:t>ტენდერის დასრულებიდან</w:t>
      </w:r>
      <w:r w:rsidRPr="00C041F0">
        <w:t xml:space="preserve"> 30 დღის განმავლობაში;</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CB322D1" w:rsidR="00B8474F" w:rsidRPr="00C707B2" w:rsidRDefault="00286354" w:rsidP="00B8474F">
      <w:pPr>
        <w:pStyle w:val="ListParagraph"/>
        <w:numPr>
          <w:ilvl w:val="0"/>
          <w:numId w:val="15"/>
        </w:numPr>
        <w:spacing w:after="200" w:line="276" w:lineRule="auto"/>
        <w:jc w:val="left"/>
        <w:rPr>
          <w:rFonts w:cs="Sylfaen"/>
          <w:lang w:val="ka-GE"/>
        </w:rPr>
      </w:pPr>
      <w:r>
        <w:rPr>
          <w:rFonts w:cs="Sylfaen"/>
          <w:b/>
          <w:lang w:val="ka-GE"/>
        </w:rPr>
        <w:t xml:space="preserve">სასურველი </w:t>
      </w:r>
      <w:r w:rsidR="00B8474F" w:rsidRPr="00C707B2">
        <w:rPr>
          <w:rFonts w:cs="Sylfaen"/>
          <w:b/>
          <w:lang w:val="ka-GE"/>
        </w:rPr>
        <w:t>მიწოდების ვადა:</w:t>
      </w:r>
      <w:r w:rsidR="00B8474F" w:rsidRPr="00C707B2">
        <w:rPr>
          <w:rFonts w:cs="Sylfaen"/>
          <w:lang w:val="ka-GE"/>
        </w:rPr>
        <w:t xml:space="preserve"> </w:t>
      </w:r>
      <w:r w:rsidR="00395EE5" w:rsidRPr="00C707B2">
        <w:rPr>
          <w:rFonts w:cs="Sylfaen"/>
        </w:rPr>
        <w:t xml:space="preserve"> </w:t>
      </w:r>
      <w:r w:rsidR="00994388">
        <w:rPr>
          <w:rFonts w:cs="Sylfaen"/>
          <w:lang w:val="ka-GE"/>
        </w:rPr>
        <w:t>30</w:t>
      </w:r>
      <w:r w:rsidR="000E777A" w:rsidRPr="00C707B2">
        <w:rPr>
          <w:rFonts w:cs="Sylfaen"/>
          <w:lang w:val="ka-GE"/>
        </w:rPr>
        <w:t xml:space="preserve"> კალენდარული</w:t>
      </w:r>
      <w:r w:rsidR="00395EE5" w:rsidRPr="00C707B2">
        <w:rPr>
          <w:rFonts w:cs="Sylfaen"/>
          <w:lang w:val="ka-GE"/>
        </w:rPr>
        <w:t xml:space="preserve"> დღე;</w:t>
      </w:r>
    </w:p>
    <w:p w14:paraId="799C44A3" w14:textId="6D0A6D4E"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w:t>
      </w:r>
      <w:r w:rsidR="007A7178">
        <w:rPr>
          <w:rFonts w:cs="Sylfaen"/>
          <w:lang w:val="ka-GE"/>
        </w:rPr>
        <w:t>რ</w:t>
      </w:r>
      <w:r>
        <w:rPr>
          <w:rFonts w:cs="Sylfaen"/>
          <w:lang w:val="ka-GE"/>
        </w:rPr>
        <w:t>ეტენდეტზე, სადაც ფიქსირდება კომპანიის ადგილობრივ ბაზარზე ოპერირების შესაძლებლობა.</w:t>
      </w:r>
    </w:p>
    <w:p w14:paraId="1555671D" w14:textId="1CE43A9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2A309448" w14:textId="77777777" w:rsidR="00C707B2" w:rsidRPr="003F7EC8" w:rsidRDefault="00C707B2" w:rsidP="00C707B2">
      <w:pPr>
        <w:pStyle w:val="ListParagraph"/>
        <w:spacing w:after="200" w:line="276" w:lineRule="auto"/>
        <w:rPr>
          <w:rFonts w:cs="Sylfaen"/>
          <w:b/>
          <w:lang w:val="ka-GE"/>
        </w:rPr>
      </w:pPr>
      <w:r>
        <w:rPr>
          <w:rFonts w:cs="Sylfaen"/>
          <w:b/>
          <w:lang w:val="ka-GE"/>
        </w:rPr>
        <w:t xml:space="preserve">შენიშვნა: </w:t>
      </w:r>
      <w:r w:rsidRPr="003F7EC8">
        <w:rPr>
          <w:rFonts w:asciiTheme="minorHAnsi" w:hAnsiTheme="minorHAnsi" w:cstheme="minorHAnsi"/>
          <w:lang w:val="ka-GE"/>
        </w:rPr>
        <w:t xml:space="preserve">სატენდერო მოთხოვნების </w:t>
      </w:r>
      <w:r w:rsidRPr="003F7EC8">
        <w:rPr>
          <w:rFonts w:asciiTheme="minorHAnsi" w:hAnsiTheme="minorHAnsi" w:cstheme="minorHAnsi"/>
        </w:rPr>
        <w:t>შეუსრულებლობის შემთხვევაში, ტენდერში მონაწილე ექვემდებარება დისკვალიფიკაციას</w:t>
      </w:r>
      <w:r w:rsidRPr="003F7EC8">
        <w:rPr>
          <w:rFonts w:cs="Sylfaen"/>
          <w:b/>
          <w:lang w:val="ka-GE"/>
        </w:rPr>
        <w:t xml:space="preserve"> </w:t>
      </w:r>
    </w:p>
    <w:p w14:paraId="12359C32" w14:textId="7F62647A" w:rsidR="00C707B2" w:rsidRPr="00C707B2" w:rsidRDefault="00C707B2" w:rsidP="00C707B2">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28CEA509"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w:t>
      </w:r>
      <w:r w:rsidR="00834441">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p w14:paraId="3EBA8A1A" w14:textId="77777777" w:rsidR="00834441" w:rsidRDefault="000238DE">
      <w:pPr>
        <w:jc w:val="left"/>
        <w:rPr>
          <w:lang w:val="ka-GE"/>
        </w:rPr>
      </w:pPr>
      <w:r>
        <w:rPr>
          <w:lang w:val="ka-GE"/>
        </w:rPr>
        <w:br w:type="textWrapping" w:clear="all"/>
      </w:r>
    </w:p>
    <w:tbl>
      <w:tblPr>
        <w:tblW w:w="10322" w:type="dxa"/>
        <w:tblInd w:w="113" w:type="dxa"/>
        <w:tblLook w:val="04A0" w:firstRow="1" w:lastRow="0" w:firstColumn="1" w:lastColumn="0" w:noHBand="0" w:noVBand="1"/>
      </w:tblPr>
      <w:tblGrid>
        <w:gridCol w:w="1502"/>
        <w:gridCol w:w="5400"/>
        <w:gridCol w:w="1260"/>
        <w:gridCol w:w="990"/>
        <w:gridCol w:w="1170"/>
      </w:tblGrid>
      <w:tr w:rsidR="0072667C" w:rsidRPr="0072667C" w14:paraId="3BC82143" w14:textId="77777777" w:rsidTr="0072667C">
        <w:trPr>
          <w:trHeight w:val="580"/>
        </w:trPr>
        <w:tc>
          <w:tcPr>
            <w:tcW w:w="1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AFED8"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name</w:t>
            </w:r>
          </w:p>
        </w:tc>
        <w:tc>
          <w:tcPr>
            <w:tcW w:w="5400" w:type="dxa"/>
            <w:tcBorders>
              <w:top w:val="single" w:sz="4" w:space="0" w:color="auto"/>
              <w:left w:val="nil"/>
              <w:bottom w:val="single" w:sz="4" w:space="0" w:color="auto"/>
              <w:right w:val="single" w:sz="4" w:space="0" w:color="auto"/>
            </w:tcBorders>
            <w:shd w:val="clear" w:color="auto" w:fill="auto"/>
            <w:noWrap/>
            <w:vAlign w:val="center"/>
            <w:hideMark/>
          </w:tcPr>
          <w:p w14:paraId="364F728C"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description</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0EA22AD"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quantity</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1411B11"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price per unit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49B83B4F"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total price</w:t>
            </w:r>
          </w:p>
        </w:tc>
      </w:tr>
      <w:tr w:rsidR="0072667C" w:rsidRPr="0072667C" w14:paraId="058D8047" w14:textId="77777777" w:rsidTr="0072667C">
        <w:trPr>
          <w:trHeight w:val="580"/>
        </w:trPr>
        <w:tc>
          <w:tcPr>
            <w:tcW w:w="1502" w:type="dxa"/>
            <w:vMerge w:val="restart"/>
            <w:tcBorders>
              <w:top w:val="nil"/>
              <w:left w:val="single" w:sz="4" w:space="0" w:color="auto"/>
              <w:bottom w:val="single" w:sz="4" w:space="0" w:color="auto"/>
              <w:right w:val="single" w:sz="4" w:space="0" w:color="auto"/>
            </w:tcBorders>
            <w:shd w:val="clear" w:color="auto" w:fill="auto"/>
            <w:vAlign w:val="center"/>
            <w:hideMark/>
          </w:tcPr>
          <w:p w14:paraId="07B0DFD5" w14:textId="334C6C13" w:rsidR="0072667C" w:rsidRPr="0072667C" w:rsidRDefault="0072667C" w:rsidP="0072667C">
            <w:pPr>
              <w:jc w:val="center"/>
              <w:rPr>
                <w:rFonts w:ascii="Calibri" w:eastAsia="Times New Roman" w:hAnsi="Calibri" w:cs="Calibri"/>
                <w:color w:val="000000"/>
                <w:sz w:val="22"/>
                <w:szCs w:val="22"/>
              </w:rPr>
            </w:pPr>
            <w:r>
              <w:rPr>
                <w:rFonts w:ascii="Calibri" w:eastAsia="Times New Roman" w:hAnsi="Calibri" w:cs="Calibri"/>
                <w:color w:val="000000"/>
                <w:sz w:val="22"/>
                <w:szCs w:val="22"/>
              </w:rPr>
              <w:t>GPU Servers</w:t>
            </w:r>
          </w:p>
        </w:tc>
        <w:tc>
          <w:tcPr>
            <w:tcW w:w="5400" w:type="dxa"/>
            <w:tcBorders>
              <w:top w:val="nil"/>
              <w:left w:val="nil"/>
              <w:bottom w:val="single" w:sz="4" w:space="0" w:color="auto"/>
              <w:right w:val="single" w:sz="4" w:space="0" w:color="auto"/>
            </w:tcBorders>
            <w:shd w:val="clear" w:color="auto" w:fill="auto"/>
            <w:vAlign w:val="center"/>
            <w:hideMark/>
          </w:tcPr>
          <w:p w14:paraId="2787B5B6"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CPU: მინიმუმ 2x Intel® Xeon® 6521P Processor (ან სხვა მინიმუმ იგივე წარმადობის და თაობის)</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52DDF6"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2</w:t>
            </w:r>
          </w:p>
        </w:tc>
        <w:tc>
          <w:tcPr>
            <w:tcW w:w="9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19EDDA"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 </w:t>
            </w:r>
          </w:p>
        </w:tc>
        <w:tc>
          <w:tcPr>
            <w:tcW w:w="11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C6829D"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$0.00</w:t>
            </w:r>
          </w:p>
        </w:tc>
      </w:tr>
      <w:tr w:rsidR="0072667C" w:rsidRPr="0072667C" w14:paraId="0D16B14B" w14:textId="77777777" w:rsidTr="0072667C">
        <w:trPr>
          <w:trHeight w:val="290"/>
        </w:trPr>
        <w:tc>
          <w:tcPr>
            <w:tcW w:w="1502" w:type="dxa"/>
            <w:vMerge/>
            <w:tcBorders>
              <w:top w:val="nil"/>
              <w:left w:val="single" w:sz="4" w:space="0" w:color="auto"/>
              <w:bottom w:val="single" w:sz="4" w:space="0" w:color="auto"/>
              <w:right w:val="single" w:sz="4" w:space="0" w:color="auto"/>
            </w:tcBorders>
            <w:vAlign w:val="center"/>
            <w:hideMark/>
          </w:tcPr>
          <w:p w14:paraId="207EE2F6"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3ED5AF90"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Ram: 16× 64GB Dual Rank DDR5.</w:t>
            </w:r>
          </w:p>
        </w:tc>
        <w:tc>
          <w:tcPr>
            <w:tcW w:w="1260" w:type="dxa"/>
            <w:vMerge/>
            <w:tcBorders>
              <w:top w:val="nil"/>
              <w:left w:val="single" w:sz="4" w:space="0" w:color="auto"/>
              <w:bottom w:val="single" w:sz="4" w:space="0" w:color="000000"/>
              <w:right w:val="single" w:sz="4" w:space="0" w:color="auto"/>
            </w:tcBorders>
            <w:vAlign w:val="center"/>
            <w:hideMark/>
          </w:tcPr>
          <w:p w14:paraId="26BD09FF"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3D353794"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3DA20E98"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715A0C8E" w14:textId="77777777" w:rsidTr="0072667C">
        <w:trPr>
          <w:trHeight w:val="290"/>
        </w:trPr>
        <w:tc>
          <w:tcPr>
            <w:tcW w:w="1502" w:type="dxa"/>
            <w:vMerge/>
            <w:tcBorders>
              <w:top w:val="nil"/>
              <w:left w:val="single" w:sz="4" w:space="0" w:color="auto"/>
              <w:bottom w:val="single" w:sz="4" w:space="0" w:color="auto"/>
              <w:right w:val="single" w:sz="4" w:space="0" w:color="auto"/>
            </w:tcBorders>
            <w:vAlign w:val="center"/>
            <w:hideMark/>
          </w:tcPr>
          <w:p w14:paraId="3A9C3614"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15D38113" w14:textId="2AD38A28"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Disk: M.2 Boot Optimized RAID1 240GB ან მეტი.</w:t>
            </w:r>
          </w:p>
        </w:tc>
        <w:tc>
          <w:tcPr>
            <w:tcW w:w="1260" w:type="dxa"/>
            <w:vMerge/>
            <w:tcBorders>
              <w:top w:val="nil"/>
              <w:left w:val="single" w:sz="4" w:space="0" w:color="auto"/>
              <w:bottom w:val="single" w:sz="4" w:space="0" w:color="000000"/>
              <w:right w:val="single" w:sz="4" w:space="0" w:color="auto"/>
            </w:tcBorders>
            <w:vAlign w:val="center"/>
            <w:hideMark/>
          </w:tcPr>
          <w:p w14:paraId="6E0B6747"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46860388"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1E42523F"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09E334F2" w14:textId="77777777" w:rsidTr="0072667C">
        <w:trPr>
          <w:trHeight w:val="290"/>
        </w:trPr>
        <w:tc>
          <w:tcPr>
            <w:tcW w:w="1502" w:type="dxa"/>
            <w:vMerge/>
            <w:tcBorders>
              <w:top w:val="nil"/>
              <w:left w:val="single" w:sz="4" w:space="0" w:color="auto"/>
              <w:bottom w:val="single" w:sz="4" w:space="0" w:color="auto"/>
              <w:right w:val="single" w:sz="4" w:space="0" w:color="auto"/>
            </w:tcBorders>
            <w:vAlign w:val="center"/>
            <w:hideMark/>
          </w:tcPr>
          <w:p w14:paraId="26A0A357"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7BA70EE7"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Network: Ethernet 10/25Gb, 2-პორტიანი, 10/25Gb SFP-თი.</w:t>
            </w:r>
          </w:p>
        </w:tc>
        <w:tc>
          <w:tcPr>
            <w:tcW w:w="1260" w:type="dxa"/>
            <w:vMerge/>
            <w:tcBorders>
              <w:top w:val="nil"/>
              <w:left w:val="single" w:sz="4" w:space="0" w:color="auto"/>
              <w:bottom w:val="single" w:sz="4" w:space="0" w:color="000000"/>
              <w:right w:val="single" w:sz="4" w:space="0" w:color="auto"/>
            </w:tcBorders>
            <w:vAlign w:val="center"/>
            <w:hideMark/>
          </w:tcPr>
          <w:p w14:paraId="52F3AD00"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6940C738"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75279099"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177A118F" w14:textId="77777777" w:rsidTr="0072667C">
        <w:trPr>
          <w:trHeight w:val="580"/>
        </w:trPr>
        <w:tc>
          <w:tcPr>
            <w:tcW w:w="1502" w:type="dxa"/>
            <w:vMerge/>
            <w:tcBorders>
              <w:top w:val="nil"/>
              <w:left w:val="single" w:sz="4" w:space="0" w:color="auto"/>
              <w:bottom w:val="single" w:sz="4" w:space="0" w:color="auto"/>
              <w:right w:val="single" w:sz="4" w:space="0" w:color="auto"/>
            </w:tcBorders>
            <w:vAlign w:val="center"/>
            <w:hideMark/>
          </w:tcPr>
          <w:p w14:paraId="6C72E906"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0F628577"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2× 7.68TB NVMe მაღალი წარმადობის, წაკითხვისთვის ოპტიმიზებული</w:t>
            </w:r>
          </w:p>
        </w:tc>
        <w:tc>
          <w:tcPr>
            <w:tcW w:w="1260" w:type="dxa"/>
            <w:vMerge/>
            <w:tcBorders>
              <w:top w:val="nil"/>
              <w:left w:val="single" w:sz="4" w:space="0" w:color="auto"/>
              <w:bottom w:val="single" w:sz="4" w:space="0" w:color="000000"/>
              <w:right w:val="single" w:sz="4" w:space="0" w:color="auto"/>
            </w:tcBorders>
            <w:vAlign w:val="center"/>
            <w:hideMark/>
          </w:tcPr>
          <w:p w14:paraId="51A6EA7D"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0B7EA976"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1537C480"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6DB4048B" w14:textId="77777777" w:rsidTr="0072667C">
        <w:trPr>
          <w:trHeight w:val="580"/>
        </w:trPr>
        <w:tc>
          <w:tcPr>
            <w:tcW w:w="1502" w:type="dxa"/>
            <w:vMerge/>
            <w:tcBorders>
              <w:top w:val="nil"/>
              <w:left w:val="single" w:sz="4" w:space="0" w:color="auto"/>
              <w:bottom w:val="single" w:sz="4" w:space="0" w:color="auto"/>
              <w:right w:val="single" w:sz="4" w:space="0" w:color="auto"/>
            </w:tcBorders>
            <w:vAlign w:val="center"/>
            <w:hideMark/>
          </w:tcPr>
          <w:p w14:paraId="4100511F"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4434F89D"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კონტროლერი: პირდაპირი მიერთება (RAID კონტროლერის გარეშე).</w:t>
            </w:r>
          </w:p>
        </w:tc>
        <w:tc>
          <w:tcPr>
            <w:tcW w:w="1260" w:type="dxa"/>
            <w:vMerge/>
            <w:tcBorders>
              <w:top w:val="nil"/>
              <w:left w:val="single" w:sz="4" w:space="0" w:color="auto"/>
              <w:bottom w:val="single" w:sz="4" w:space="0" w:color="000000"/>
              <w:right w:val="single" w:sz="4" w:space="0" w:color="auto"/>
            </w:tcBorders>
            <w:vAlign w:val="center"/>
            <w:hideMark/>
          </w:tcPr>
          <w:p w14:paraId="3F327D85"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0F063308"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7BE079F7"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038908ED" w14:textId="77777777" w:rsidTr="0072667C">
        <w:trPr>
          <w:trHeight w:val="290"/>
        </w:trPr>
        <w:tc>
          <w:tcPr>
            <w:tcW w:w="1502" w:type="dxa"/>
            <w:vMerge/>
            <w:tcBorders>
              <w:top w:val="nil"/>
              <w:left w:val="single" w:sz="4" w:space="0" w:color="auto"/>
              <w:bottom w:val="single" w:sz="4" w:space="0" w:color="auto"/>
              <w:right w:val="single" w:sz="4" w:space="0" w:color="auto"/>
            </w:tcBorders>
            <w:vAlign w:val="center"/>
            <w:hideMark/>
          </w:tcPr>
          <w:p w14:paraId="2E1F469A"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00E45066"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სრულად დისტანციური მართვის ფუნქციონალი.</w:t>
            </w:r>
          </w:p>
        </w:tc>
        <w:tc>
          <w:tcPr>
            <w:tcW w:w="1260" w:type="dxa"/>
            <w:vMerge/>
            <w:tcBorders>
              <w:top w:val="nil"/>
              <w:left w:val="single" w:sz="4" w:space="0" w:color="auto"/>
              <w:bottom w:val="single" w:sz="4" w:space="0" w:color="000000"/>
              <w:right w:val="single" w:sz="4" w:space="0" w:color="auto"/>
            </w:tcBorders>
            <w:vAlign w:val="center"/>
            <w:hideMark/>
          </w:tcPr>
          <w:p w14:paraId="51ED1359"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0F0C2350"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5FB37B2B"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41A63B94" w14:textId="77777777" w:rsidTr="0072667C">
        <w:trPr>
          <w:trHeight w:val="870"/>
        </w:trPr>
        <w:tc>
          <w:tcPr>
            <w:tcW w:w="1502" w:type="dxa"/>
            <w:vMerge/>
            <w:tcBorders>
              <w:top w:val="nil"/>
              <w:left w:val="single" w:sz="4" w:space="0" w:color="auto"/>
              <w:bottom w:val="single" w:sz="4" w:space="0" w:color="auto"/>
              <w:right w:val="single" w:sz="4" w:space="0" w:color="auto"/>
            </w:tcBorders>
            <w:vAlign w:val="center"/>
            <w:hideMark/>
          </w:tcPr>
          <w:p w14:paraId="3B281994"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0C6A266C"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GPU: 4× NVIDIA H100 NVL PCIe. Two-way, two-slot NVIDIA NVLink bridges for inter-GPU communication ან 4× NVIDIA H100 SXM</w:t>
            </w:r>
          </w:p>
        </w:tc>
        <w:tc>
          <w:tcPr>
            <w:tcW w:w="1260" w:type="dxa"/>
            <w:vMerge/>
            <w:tcBorders>
              <w:top w:val="nil"/>
              <w:left w:val="single" w:sz="4" w:space="0" w:color="auto"/>
              <w:bottom w:val="single" w:sz="4" w:space="0" w:color="000000"/>
              <w:right w:val="single" w:sz="4" w:space="0" w:color="auto"/>
            </w:tcBorders>
            <w:vAlign w:val="center"/>
            <w:hideMark/>
          </w:tcPr>
          <w:p w14:paraId="5F50C70A"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38F0A140"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0266ED32"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550DCD47" w14:textId="77777777" w:rsidTr="0072667C">
        <w:trPr>
          <w:trHeight w:val="290"/>
        </w:trPr>
        <w:tc>
          <w:tcPr>
            <w:tcW w:w="1502" w:type="dxa"/>
            <w:vMerge/>
            <w:tcBorders>
              <w:top w:val="nil"/>
              <w:left w:val="single" w:sz="4" w:space="0" w:color="auto"/>
              <w:bottom w:val="single" w:sz="4" w:space="0" w:color="auto"/>
              <w:right w:val="single" w:sz="4" w:space="0" w:color="auto"/>
            </w:tcBorders>
            <w:vAlign w:val="center"/>
            <w:hideMark/>
          </w:tcPr>
          <w:p w14:paraId="21488140"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75932E9E"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3 Year Support 24/7</w:t>
            </w:r>
          </w:p>
        </w:tc>
        <w:tc>
          <w:tcPr>
            <w:tcW w:w="1260" w:type="dxa"/>
            <w:vMerge/>
            <w:tcBorders>
              <w:top w:val="nil"/>
              <w:left w:val="single" w:sz="4" w:space="0" w:color="auto"/>
              <w:bottom w:val="single" w:sz="4" w:space="0" w:color="000000"/>
              <w:right w:val="single" w:sz="4" w:space="0" w:color="auto"/>
            </w:tcBorders>
            <w:vAlign w:val="center"/>
            <w:hideMark/>
          </w:tcPr>
          <w:p w14:paraId="2A705059"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single" w:sz="4" w:space="0" w:color="000000"/>
              <w:right w:val="single" w:sz="4" w:space="0" w:color="auto"/>
            </w:tcBorders>
            <w:vAlign w:val="center"/>
            <w:hideMark/>
          </w:tcPr>
          <w:p w14:paraId="31C71E01"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14:paraId="3ED6E4A1" w14:textId="77777777" w:rsidR="0072667C" w:rsidRPr="0072667C" w:rsidRDefault="0072667C" w:rsidP="0072667C">
            <w:pPr>
              <w:jc w:val="left"/>
              <w:rPr>
                <w:rFonts w:ascii="Calibri" w:eastAsia="Times New Roman" w:hAnsi="Calibri" w:cs="Calibri"/>
                <w:color w:val="000000"/>
                <w:sz w:val="22"/>
                <w:szCs w:val="22"/>
              </w:rPr>
            </w:pPr>
          </w:p>
        </w:tc>
      </w:tr>
      <w:tr w:rsidR="0072667C" w:rsidRPr="0072667C" w14:paraId="1851EC4A" w14:textId="77777777" w:rsidTr="00A96D8C">
        <w:trPr>
          <w:trHeight w:val="290"/>
        </w:trPr>
        <w:tc>
          <w:tcPr>
            <w:tcW w:w="1502" w:type="dxa"/>
            <w:vMerge/>
            <w:tcBorders>
              <w:top w:val="nil"/>
              <w:left w:val="single" w:sz="4" w:space="0" w:color="auto"/>
              <w:bottom w:val="nil"/>
              <w:right w:val="single" w:sz="4" w:space="0" w:color="auto"/>
            </w:tcBorders>
            <w:vAlign w:val="center"/>
            <w:hideMark/>
          </w:tcPr>
          <w:p w14:paraId="0D890000" w14:textId="77777777" w:rsidR="0072667C" w:rsidRPr="0072667C" w:rsidRDefault="0072667C" w:rsidP="0072667C">
            <w:pPr>
              <w:jc w:val="left"/>
              <w:rPr>
                <w:rFonts w:ascii="Calibri" w:eastAsia="Times New Roman" w:hAnsi="Calibri" w:cs="Calibri"/>
                <w:color w:val="000000"/>
                <w:sz w:val="22"/>
                <w:szCs w:val="22"/>
              </w:rPr>
            </w:pPr>
          </w:p>
        </w:tc>
        <w:tc>
          <w:tcPr>
            <w:tcW w:w="5400" w:type="dxa"/>
            <w:tcBorders>
              <w:top w:val="nil"/>
              <w:left w:val="nil"/>
              <w:bottom w:val="single" w:sz="4" w:space="0" w:color="auto"/>
              <w:right w:val="single" w:sz="4" w:space="0" w:color="auto"/>
            </w:tcBorders>
            <w:shd w:val="clear" w:color="auto" w:fill="auto"/>
            <w:vAlign w:val="center"/>
            <w:hideMark/>
          </w:tcPr>
          <w:p w14:paraId="5BD1C65B" w14:textId="77777777" w:rsidR="0072667C" w:rsidRPr="0072667C" w:rsidRDefault="0072667C" w:rsidP="0072667C">
            <w:pPr>
              <w:jc w:val="center"/>
              <w:rPr>
                <w:rFonts w:ascii="Calibri" w:eastAsia="Times New Roman" w:hAnsi="Calibri" w:cs="Calibri"/>
                <w:color w:val="000000"/>
                <w:sz w:val="22"/>
                <w:szCs w:val="22"/>
              </w:rPr>
            </w:pPr>
            <w:r w:rsidRPr="0072667C">
              <w:rPr>
                <w:rFonts w:ascii="Calibri" w:eastAsia="Times New Roman" w:hAnsi="Calibri" w:cs="Calibri"/>
                <w:color w:val="000000"/>
                <w:sz w:val="22"/>
                <w:szCs w:val="22"/>
              </w:rPr>
              <w:t>PCIe უახლესი თაობის მხარდაჭერა</w:t>
            </w:r>
          </w:p>
        </w:tc>
        <w:tc>
          <w:tcPr>
            <w:tcW w:w="1260" w:type="dxa"/>
            <w:vMerge/>
            <w:tcBorders>
              <w:top w:val="nil"/>
              <w:left w:val="single" w:sz="4" w:space="0" w:color="auto"/>
              <w:bottom w:val="nil"/>
              <w:right w:val="single" w:sz="4" w:space="0" w:color="auto"/>
            </w:tcBorders>
            <w:vAlign w:val="center"/>
            <w:hideMark/>
          </w:tcPr>
          <w:p w14:paraId="19B38068" w14:textId="77777777" w:rsidR="0072667C" w:rsidRPr="0072667C" w:rsidRDefault="0072667C" w:rsidP="0072667C">
            <w:pPr>
              <w:jc w:val="left"/>
              <w:rPr>
                <w:rFonts w:ascii="Calibri" w:eastAsia="Times New Roman" w:hAnsi="Calibri" w:cs="Calibri"/>
                <w:color w:val="000000"/>
                <w:sz w:val="22"/>
                <w:szCs w:val="22"/>
              </w:rPr>
            </w:pPr>
          </w:p>
        </w:tc>
        <w:tc>
          <w:tcPr>
            <w:tcW w:w="990" w:type="dxa"/>
            <w:vMerge/>
            <w:tcBorders>
              <w:top w:val="nil"/>
              <w:left w:val="single" w:sz="4" w:space="0" w:color="auto"/>
              <w:bottom w:val="nil"/>
              <w:right w:val="single" w:sz="4" w:space="0" w:color="auto"/>
            </w:tcBorders>
            <w:vAlign w:val="center"/>
            <w:hideMark/>
          </w:tcPr>
          <w:p w14:paraId="1651C61D" w14:textId="77777777" w:rsidR="0072667C" w:rsidRPr="0072667C" w:rsidRDefault="0072667C" w:rsidP="0072667C">
            <w:pPr>
              <w:jc w:val="left"/>
              <w:rPr>
                <w:rFonts w:ascii="Calibri" w:eastAsia="Times New Roman" w:hAnsi="Calibri" w:cs="Calibri"/>
                <w:color w:val="000000"/>
                <w:sz w:val="22"/>
                <w:szCs w:val="22"/>
              </w:rPr>
            </w:pPr>
          </w:p>
        </w:tc>
        <w:tc>
          <w:tcPr>
            <w:tcW w:w="1170" w:type="dxa"/>
            <w:vMerge/>
            <w:tcBorders>
              <w:top w:val="nil"/>
              <w:left w:val="single" w:sz="4" w:space="0" w:color="auto"/>
              <w:bottom w:val="nil"/>
              <w:right w:val="single" w:sz="4" w:space="0" w:color="auto"/>
            </w:tcBorders>
            <w:vAlign w:val="center"/>
            <w:hideMark/>
          </w:tcPr>
          <w:p w14:paraId="5A2A0014" w14:textId="77777777" w:rsidR="0072667C" w:rsidRPr="0072667C" w:rsidRDefault="0072667C" w:rsidP="0072667C">
            <w:pPr>
              <w:jc w:val="left"/>
              <w:rPr>
                <w:rFonts w:ascii="Calibri" w:eastAsia="Times New Roman" w:hAnsi="Calibri" w:cs="Calibri"/>
                <w:color w:val="000000"/>
                <w:sz w:val="22"/>
                <w:szCs w:val="22"/>
              </w:rPr>
            </w:pPr>
          </w:p>
        </w:tc>
      </w:tr>
      <w:tr w:rsidR="00A96D8C" w:rsidRPr="0072667C" w14:paraId="3F1C1CE5" w14:textId="77777777" w:rsidTr="00A96D8C">
        <w:trPr>
          <w:trHeight w:val="290"/>
        </w:trPr>
        <w:tc>
          <w:tcPr>
            <w:tcW w:w="1502" w:type="dxa"/>
            <w:tcBorders>
              <w:top w:val="nil"/>
              <w:left w:val="single" w:sz="4" w:space="0" w:color="auto"/>
              <w:bottom w:val="single" w:sz="4" w:space="0" w:color="auto"/>
              <w:right w:val="single" w:sz="4" w:space="0" w:color="auto"/>
            </w:tcBorders>
            <w:vAlign w:val="center"/>
          </w:tcPr>
          <w:p w14:paraId="4872423F" w14:textId="77777777" w:rsidR="00A96D8C" w:rsidRPr="0072667C" w:rsidRDefault="00A96D8C" w:rsidP="0072667C">
            <w:pPr>
              <w:jc w:val="left"/>
              <w:rPr>
                <w:rFonts w:ascii="Calibri" w:eastAsia="Times New Roman" w:hAnsi="Calibri" w:cs="Calibri"/>
                <w:color w:val="000000"/>
                <w:sz w:val="22"/>
                <w:szCs w:val="22"/>
              </w:rPr>
            </w:pPr>
          </w:p>
        </w:tc>
        <w:tc>
          <w:tcPr>
            <w:tcW w:w="5400" w:type="dxa"/>
            <w:tcBorders>
              <w:top w:val="single" w:sz="4" w:space="0" w:color="auto"/>
              <w:left w:val="nil"/>
              <w:bottom w:val="single" w:sz="4" w:space="0" w:color="auto"/>
              <w:right w:val="single" w:sz="4" w:space="0" w:color="auto"/>
            </w:tcBorders>
            <w:shd w:val="clear" w:color="auto" w:fill="auto"/>
            <w:vAlign w:val="center"/>
          </w:tcPr>
          <w:p w14:paraId="62645642" w14:textId="12B6EACF" w:rsidR="00A96D8C" w:rsidRPr="009D4950" w:rsidRDefault="00A96D8C" w:rsidP="0072667C">
            <w:pPr>
              <w:jc w:val="center"/>
              <w:rPr>
                <w:rFonts w:ascii="Calibri" w:eastAsia="Times New Roman" w:hAnsi="Calibri" w:cs="Calibri"/>
                <w:color w:val="000000"/>
                <w:sz w:val="22"/>
                <w:szCs w:val="22"/>
              </w:rPr>
            </w:pPr>
            <w:r w:rsidRPr="00A96D8C">
              <w:rPr>
                <w:rFonts w:ascii="Calibri" w:eastAsia="Times New Roman" w:hAnsi="Calibri" w:cs="Calibri"/>
                <w:color w:val="000000"/>
                <w:sz w:val="22"/>
                <w:szCs w:val="22"/>
                <w:lang w:val="ka-GE"/>
              </w:rPr>
              <w:t>დაზიანებული დისკური მოწყობილობების დატოვების და თვითგანადგურების სერვისი</w:t>
            </w:r>
            <w:r w:rsidR="009D4950">
              <w:rPr>
                <w:rFonts w:ascii="Calibri" w:eastAsia="Times New Roman" w:hAnsi="Calibri" w:cs="Calibri"/>
                <w:color w:val="000000"/>
                <w:sz w:val="22"/>
                <w:szCs w:val="22"/>
                <w:lang w:val="ka-GE"/>
              </w:rPr>
              <w:t xml:space="preserve"> (3 </w:t>
            </w:r>
            <w:r w:rsidR="009D4950">
              <w:rPr>
                <w:rFonts w:ascii="Calibri" w:eastAsia="Times New Roman" w:hAnsi="Calibri" w:cs="Calibri"/>
                <w:color w:val="000000"/>
                <w:sz w:val="22"/>
                <w:szCs w:val="22"/>
              </w:rPr>
              <w:t>Year)</w:t>
            </w:r>
          </w:p>
        </w:tc>
        <w:tc>
          <w:tcPr>
            <w:tcW w:w="1260" w:type="dxa"/>
            <w:tcBorders>
              <w:top w:val="nil"/>
              <w:left w:val="single" w:sz="4" w:space="0" w:color="auto"/>
              <w:bottom w:val="single" w:sz="4" w:space="0" w:color="000000"/>
              <w:right w:val="single" w:sz="4" w:space="0" w:color="auto"/>
            </w:tcBorders>
            <w:vAlign w:val="center"/>
          </w:tcPr>
          <w:p w14:paraId="3E4E06FB" w14:textId="77777777" w:rsidR="00A96D8C" w:rsidRPr="0072667C" w:rsidRDefault="00A96D8C" w:rsidP="0072667C">
            <w:pPr>
              <w:jc w:val="left"/>
              <w:rPr>
                <w:rFonts w:ascii="Calibri" w:eastAsia="Times New Roman" w:hAnsi="Calibri" w:cs="Calibri"/>
                <w:color w:val="000000"/>
                <w:sz w:val="22"/>
                <w:szCs w:val="22"/>
              </w:rPr>
            </w:pPr>
          </w:p>
        </w:tc>
        <w:tc>
          <w:tcPr>
            <w:tcW w:w="990" w:type="dxa"/>
            <w:tcBorders>
              <w:top w:val="nil"/>
              <w:left w:val="single" w:sz="4" w:space="0" w:color="auto"/>
              <w:bottom w:val="single" w:sz="4" w:space="0" w:color="000000"/>
              <w:right w:val="single" w:sz="4" w:space="0" w:color="auto"/>
            </w:tcBorders>
            <w:vAlign w:val="center"/>
          </w:tcPr>
          <w:p w14:paraId="526E9F54" w14:textId="77777777" w:rsidR="00A96D8C" w:rsidRPr="0072667C" w:rsidRDefault="00A96D8C" w:rsidP="0072667C">
            <w:pPr>
              <w:jc w:val="left"/>
              <w:rPr>
                <w:rFonts w:ascii="Calibri" w:eastAsia="Times New Roman" w:hAnsi="Calibri" w:cs="Calibri"/>
                <w:color w:val="000000"/>
                <w:sz w:val="22"/>
                <w:szCs w:val="22"/>
              </w:rPr>
            </w:pPr>
          </w:p>
        </w:tc>
        <w:tc>
          <w:tcPr>
            <w:tcW w:w="1170" w:type="dxa"/>
            <w:tcBorders>
              <w:top w:val="nil"/>
              <w:left w:val="single" w:sz="4" w:space="0" w:color="auto"/>
              <w:bottom w:val="single" w:sz="4" w:space="0" w:color="000000"/>
              <w:right w:val="single" w:sz="4" w:space="0" w:color="auto"/>
            </w:tcBorders>
            <w:vAlign w:val="center"/>
          </w:tcPr>
          <w:p w14:paraId="78E332AD" w14:textId="77777777" w:rsidR="00A96D8C" w:rsidRPr="0072667C" w:rsidRDefault="00A96D8C" w:rsidP="0072667C">
            <w:pPr>
              <w:jc w:val="left"/>
              <w:rPr>
                <w:rFonts w:ascii="Calibri" w:eastAsia="Times New Roman" w:hAnsi="Calibri" w:cs="Calibri"/>
                <w:color w:val="000000"/>
                <w:sz w:val="22"/>
                <w:szCs w:val="22"/>
              </w:rPr>
            </w:pPr>
          </w:p>
        </w:tc>
      </w:tr>
    </w:tbl>
    <w:p w14:paraId="6809FEBA" w14:textId="264BA30A" w:rsidR="00B54332" w:rsidRDefault="00B54332">
      <w:pPr>
        <w:jc w:val="left"/>
        <w:rPr>
          <w:lang w:val="ka-GE"/>
        </w:rPr>
      </w:pP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85CE" w14:textId="77777777" w:rsidR="006A7329" w:rsidRDefault="006A7329" w:rsidP="002E7950">
      <w:r>
        <w:separator/>
      </w:r>
    </w:p>
  </w:endnote>
  <w:endnote w:type="continuationSeparator" w:id="0">
    <w:p w14:paraId="49C5680C" w14:textId="77777777" w:rsidR="006A7329" w:rsidRDefault="006A732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458F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458F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EF12" w14:textId="77777777" w:rsidR="006A7329" w:rsidRDefault="006A7329" w:rsidP="002E7950">
      <w:r>
        <w:separator/>
      </w:r>
    </w:p>
  </w:footnote>
  <w:footnote w:type="continuationSeparator" w:id="0">
    <w:p w14:paraId="75A86EFA" w14:textId="77777777" w:rsidR="006A7329" w:rsidRDefault="006A732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449"/>
    <w:rsid w:val="00072FB3"/>
    <w:rsid w:val="000732FC"/>
    <w:rsid w:val="000734F6"/>
    <w:rsid w:val="00073A7B"/>
    <w:rsid w:val="0007410C"/>
    <w:rsid w:val="00074620"/>
    <w:rsid w:val="00074AF3"/>
    <w:rsid w:val="00074DBD"/>
    <w:rsid w:val="000753EF"/>
    <w:rsid w:val="00075831"/>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233"/>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0D0"/>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5BE"/>
    <w:rsid w:val="000E2623"/>
    <w:rsid w:val="000E2D8A"/>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BBA"/>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728"/>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76A"/>
    <w:rsid w:val="00280EC4"/>
    <w:rsid w:val="00280FC9"/>
    <w:rsid w:val="00282BD4"/>
    <w:rsid w:val="002838F4"/>
    <w:rsid w:val="00284669"/>
    <w:rsid w:val="00284F85"/>
    <w:rsid w:val="0028531F"/>
    <w:rsid w:val="002853D4"/>
    <w:rsid w:val="00285A4A"/>
    <w:rsid w:val="00286354"/>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7F9"/>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2E4"/>
    <w:rsid w:val="004A1619"/>
    <w:rsid w:val="004A253A"/>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1FB9"/>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100"/>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094C"/>
    <w:rsid w:val="006412B9"/>
    <w:rsid w:val="00641AC7"/>
    <w:rsid w:val="00642A70"/>
    <w:rsid w:val="00642C0E"/>
    <w:rsid w:val="00643D33"/>
    <w:rsid w:val="00645F56"/>
    <w:rsid w:val="00646DE5"/>
    <w:rsid w:val="00646E02"/>
    <w:rsid w:val="00647F5F"/>
    <w:rsid w:val="006505ED"/>
    <w:rsid w:val="00651252"/>
    <w:rsid w:val="006516BA"/>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1B"/>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329"/>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160C"/>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67C"/>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441"/>
    <w:rsid w:val="0083483B"/>
    <w:rsid w:val="008351EF"/>
    <w:rsid w:val="00836A7F"/>
    <w:rsid w:val="00836F90"/>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2547"/>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750"/>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388"/>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4950"/>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6D8C"/>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1F0"/>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1F2"/>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DAE"/>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5435"/>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BADE6C8E-AFF5-4AB5-9659-07174E97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52251724">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4036116">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714576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83800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0307871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4965239">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9324713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E785E9-BEEE-4C7B-B6AB-9CA32A4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4</cp:revision>
  <cp:lastPrinted>2019-10-17T14:03:00Z</cp:lastPrinted>
  <dcterms:created xsi:type="dcterms:W3CDTF">2025-05-07T15:46:00Z</dcterms:created>
  <dcterms:modified xsi:type="dcterms:W3CDTF">2025-05-13T07:08:00Z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