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BOG 2017" w:eastAsiaTheme="majorEastAsia" w:hAnsi="BOG 2017" w:cstheme="minorHAnsi"/>
          <w:vanish/>
          <w:sz w:val="18"/>
          <w:szCs w:val="18"/>
          <w:highlight w:val="yellow"/>
        </w:rPr>
        <w:id w:val="84194560"/>
        <w:docPartObj>
          <w:docPartGallery w:val="Cover Pages"/>
          <w:docPartUnique/>
        </w:docPartObj>
      </w:sdtPr>
      <w:sdtEndPr>
        <w:rPr>
          <w:rFonts w:eastAsiaTheme="minorHAnsi"/>
        </w:rPr>
      </w:sdtEndPr>
      <w:sdtContent>
        <w:p w14:paraId="62EAED48" w14:textId="10649A02" w:rsidR="00305561" w:rsidRPr="00BF2D89" w:rsidRDefault="00305561" w:rsidP="00A331E0">
          <w:pPr>
            <w:rPr>
              <w:rFonts w:ascii="BOG 2017" w:hAnsi="BOG 2017" w:cstheme="minorHAnsi"/>
              <w:noProof/>
              <w:sz w:val="18"/>
              <w:szCs w:val="18"/>
            </w:rPr>
          </w:pPr>
        </w:p>
        <w:p w14:paraId="3D449F9B" w14:textId="3B175A96" w:rsidR="00596DBA" w:rsidRDefault="00107A63" w:rsidP="00107A63">
          <w:pPr>
            <w:jc w:val="center"/>
            <w:rPr>
              <w:rFonts w:ascii="BOG 2017" w:hAnsi="BOG 2017" w:cstheme="minorHAnsi"/>
              <w:sz w:val="18"/>
              <w:szCs w:val="18"/>
            </w:rPr>
          </w:pPr>
          <w:r w:rsidRPr="00BF2D89">
            <w:rPr>
              <w:rFonts w:ascii="BOG 2017" w:hAnsi="BOG 2017" w:cstheme="minorHAnsi"/>
              <w:noProof/>
              <w:sz w:val="18"/>
              <w:szCs w:val="18"/>
            </w:rPr>
            <mc:AlternateContent>
              <mc:Choice Requires="wps">
                <w:drawing>
                  <wp:anchor distT="0" distB="0" distL="114300" distR="114300" simplePos="0" relativeHeight="251659264" behindDoc="0" locked="0" layoutInCell="1" allowOverlap="1" wp14:anchorId="2F984D66" wp14:editId="589A94A0">
                    <wp:simplePos x="0" y="0"/>
                    <wp:positionH relativeFrom="margin">
                      <wp:posOffset>-112395</wp:posOffset>
                    </wp:positionH>
                    <wp:positionV relativeFrom="margin">
                      <wp:posOffset>2409825</wp:posOffset>
                    </wp:positionV>
                    <wp:extent cx="6908800" cy="15303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908800" cy="153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AD6B88">
                                  <w:tc>
                                    <w:tcPr>
                                      <w:tcW w:w="3528" w:type="dxa"/>
                                    </w:tcPr>
                                    <w:p w14:paraId="06405214" w14:textId="627C6A99" w:rsidR="006F3955" w:rsidRPr="0070052C" w:rsidRDefault="006F3955" w:rsidP="00305561">
                                      <w:pPr>
                                        <w:rPr>
                                          <w:rFonts w:ascii="BOG 2017" w:hAnsi="BOG 2017"/>
                                          <w:lang w:val="ka-GE"/>
                                        </w:rPr>
                                      </w:pPr>
                                    </w:p>
                                  </w:tc>
                                  <w:tc>
                                    <w:tcPr>
                                      <w:tcW w:w="6750" w:type="dxa"/>
                                      <w:shd w:val="clear" w:color="auto" w:fill="auto"/>
                                    </w:tcPr>
                                    <w:p w14:paraId="6C998CA0" w14:textId="482F87E0" w:rsidR="006F3955" w:rsidRPr="0070052C" w:rsidRDefault="006F3955" w:rsidP="007C5AE6">
                                      <w:pPr>
                                        <w:rPr>
                                          <w:rFonts w:ascii="BOG 2017" w:hAnsi="BOG 2017"/>
                                          <w:lang w:val="ka-GE"/>
                                        </w:rPr>
                                      </w:pPr>
                                    </w:p>
                                  </w:tc>
                                </w:tr>
                                <w:tr w:rsidR="006F3955" w:rsidRPr="00DF2E46" w14:paraId="2B52C5D3" w14:textId="77777777" w:rsidTr="00AD6B88">
                                  <w:tc>
                                    <w:tcPr>
                                      <w:tcW w:w="3528" w:type="dxa"/>
                                    </w:tcPr>
                                    <w:p w14:paraId="03251D2E" w14:textId="5AF30440" w:rsidR="006F3955" w:rsidRPr="008B1594" w:rsidRDefault="006F3955" w:rsidP="009E06FA">
                                      <w:pPr>
                                        <w:rPr>
                                          <w:lang w:val="ka-GE"/>
                                        </w:rPr>
                                      </w:pPr>
                                      <w:r w:rsidRPr="008B1594">
                                        <w:rPr>
                                          <w:lang w:val="ka-GE"/>
                                        </w:rPr>
                                        <w:t>გამოცხადების თარიღი:</w:t>
                                      </w:r>
                                    </w:p>
                                    <w:p w14:paraId="05817507" w14:textId="37F6E610" w:rsidR="006F3955" w:rsidRPr="008B1594" w:rsidRDefault="006F3955" w:rsidP="009E06FA">
                                      <w:pPr>
                                        <w:rPr>
                                          <w:lang w:val="ka-GE"/>
                                        </w:rPr>
                                      </w:pPr>
                                      <w:r w:rsidRPr="008B1594">
                                        <w:rPr>
                                          <w:lang w:val="ka-GE"/>
                                        </w:rPr>
                                        <w:t>დასრულების თარიღი:</w:t>
                                      </w:r>
                                    </w:p>
                                  </w:tc>
                                  <w:tc>
                                    <w:tcPr>
                                      <w:tcW w:w="6750" w:type="dxa"/>
                                      <w:shd w:val="clear" w:color="auto" w:fill="auto"/>
                                    </w:tcPr>
                                    <w:p w14:paraId="1AB7A516" w14:textId="1215F04F" w:rsidR="006F3955" w:rsidRPr="008B1594" w:rsidRDefault="00107A63" w:rsidP="007C5AE6">
                                      <w:pPr>
                                        <w:rPr>
                                          <w:lang w:val="ka-GE"/>
                                        </w:rPr>
                                      </w:pPr>
                                      <w:r>
                                        <w:t>10</w:t>
                                      </w:r>
                                      <w:r w:rsidR="00B906DA" w:rsidRPr="008B1594">
                                        <w:rPr>
                                          <w:lang w:val="ka-GE"/>
                                        </w:rPr>
                                        <w:t xml:space="preserve"> </w:t>
                                      </w:r>
                                      <w:r w:rsidR="00EE766B" w:rsidRPr="008B1594">
                                        <w:rPr>
                                          <w:lang w:val="ka-GE"/>
                                        </w:rPr>
                                        <w:t xml:space="preserve"> </w:t>
                                      </w:r>
                                      <w:r>
                                        <w:rPr>
                                          <w:lang w:val="ka-GE"/>
                                        </w:rPr>
                                        <w:t>მაისი</w:t>
                                      </w:r>
                                      <w:r w:rsidR="006F3955" w:rsidRPr="008B1594">
                                        <w:rPr>
                                          <w:lang w:val="ka-GE"/>
                                        </w:rPr>
                                        <w:t xml:space="preserve">  20</w:t>
                                      </w:r>
                                      <w:r w:rsidR="00A35CF7" w:rsidRPr="008B1594">
                                        <w:rPr>
                                          <w:lang w:val="ka-GE"/>
                                        </w:rPr>
                                        <w:t>2</w:t>
                                      </w:r>
                                      <w:r w:rsidR="00512B8A" w:rsidRPr="008B1594">
                                        <w:rPr>
                                          <w:lang w:val="ka-GE"/>
                                        </w:rPr>
                                        <w:t>3 (წინადადებების წარმოდგენას პრეტენდენტს შეეძლება</w:t>
                                      </w:r>
                                      <w:r>
                                        <w:rPr>
                                          <w:lang w:val="ka-GE"/>
                                        </w:rPr>
                                        <w:t xml:space="preserve"> 10</w:t>
                                      </w:r>
                                      <w:r w:rsidR="00512B8A" w:rsidRPr="008B1594">
                                        <w:rPr>
                                          <w:lang w:val="ka-GE"/>
                                        </w:rPr>
                                        <w:t xml:space="preserve"> </w:t>
                                      </w:r>
                                      <w:r>
                                        <w:rPr>
                                          <w:lang w:val="ka-GE"/>
                                        </w:rPr>
                                        <w:t>მისის</w:t>
                                      </w:r>
                                      <w:r w:rsidR="00512B8A" w:rsidRPr="008B1594">
                                        <w:rPr>
                                          <w:lang w:val="ka-GE"/>
                                        </w:rPr>
                                        <w:t xml:space="preserve"> 12:00 </w:t>
                                      </w:r>
                                      <w:r w:rsidR="00512B8A" w:rsidRPr="008B1594">
                                        <w:t>PM-</w:t>
                                      </w:r>
                                      <w:r w:rsidR="00512B8A" w:rsidRPr="008B1594">
                                        <w:rPr>
                                          <w:lang w:val="ka-GE"/>
                                        </w:rPr>
                                        <w:t>დან)</w:t>
                                      </w:r>
                                    </w:p>
                                    <w:p w14:paraId="5273460A" w14:textId="12B03F90" w:rsidR="006F3955" w:rsidRPr="008B1594" w:rsidRDefault="00107A63" w:rsidP="00107A63">
                                      <w:pPr>
                                        <w:rPr>
                                          <w:lang w:val="ka-GE"/>
                                        </w:rPr>
                                      </w:pPr>
                                      <w:r>
                                        <w:rPr>
                                          <w:lang w:val="ka-GE"/>
                                        </w:rPr>
                                        <w:t>17</w:t>
                                      </w:r>
                                      <w:r w:rsidR="00282F17" w:rsidRPr="008B1594">
                                        <w:rPr>
                                          <w:lang w:val="ka-GE"/>
                                        </w:rPr>
                                        <w:t xml:space="preserve"> </w:t>
                                      </w:r>
                                      <w:r>
                                        <w:rPr>
                                          <w:lang w:val="ka-GE"/>
                                        </w:rPr>
                                        <w:t>მაისის</w:t>
                                      </w:r>
                                      <w:r w:rsidR="00F94DFC" w:rsidRPr="008B1594">
                                        <w:rPr>
                                          <w:lang w:val="ka-GE"/>
                                        </w:rPr>
                                        <w:t xml:space="preserve"> 20</w:t>
                                      </w:r>
                                      <w:r w:rsidR="00A35CF7" w:rsidRPr="008B1594">
                                        <w:rPr>
                                          <w:lang w:val="ka-GE"/>
                                        </w:rPr>
                                        <w:t>2</w:t>
                                      </w:r>
                                      <w:r w:rsidR="00512B8A" w:rsidRPr="008B1594">
                                        <w:rPr>
                                          <w:lang w:val="ka-GE"/>
                                        </w:rPr>
                                        <w:t>3 6</w:t>
                                      </w:r>
                                      <w:r w:rsidR="003A15B6" w:rsidRPr="008B1594">
                                        <w:rPr>
                                          <w:lang w:val="ka-GE"/>
                                        </w:rPr>
                                        <w:t>:00PM</w:t>
                                      </w:r>
                                      <w:r w:rsidR="00512B8A" w:rsidRPr="008B1594">
                                        <w:rPr>
                                          <w:lang w:val="ka-GE"/>
                                        </w:rPr>
                                        <w:t xml:space="preserve"> </w:t>
                                      </w:r>
                                    </w:p>
                                  </w:tc>
                                </w:tr>
                                <w:tr w:rsidR="006F3955" w:rsidRPr="00DF2E46" w14:paraId="26CDC481" w14:textId="77777777" w:rsidTr="00AD6B88">
                                  <w:tc>
                                    <w:tcPr>
                                      <w:tcW w:w="3528" w:type="dxa"/>
                                    </w:tcPr>
                                    <w:p w14:paraId="217C017A" w14:textId="61DE790B" w:rsidR="006F3955" w:rsidRPr="002838F4" w:rsidRDefault="006F3955" w:rsidP="00305561">
                                      <w:pPr>
                                        <w:rPr>
                                          <w:lang w:val="ka-GE"/>
                                        </w:rPr>
                                      </w:pPr>
                                    </w:p>
                                  </w:tc>
                                  <w:tc>
                                    <w:tcPr>
                                      <w:tcW w:w="6750" w:type="dxa"/>
                                      <w:shd w:val="clear" w:color="auto" w:fill="auto"/>
                                    </w:tcPr>
                                    <w:p w14:paraId="2D516649" w14:textId="010CC497" w:rsidR="002348C6" w:rsidRPr="002348C6" w:rsidRDefault="002348C6" w:rsidP="00313B50">
                                      <w:pPr>
                                        <w:rPr>
                                          <w:lang w:val="ka-GE"/>
                                        </w:rPr>
                                      </w:pP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8.85pt;margin-top:189.75pt;width:544pt;height:1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AD6B88">
                            <w:tc>
                              <w:tcPr>
                                <w:tcW w:w="3528" w:type="dxa"/>
                              </w:tcPr>
                              <w:p w14:paraId="06405214" w14:textId="627C6A99" w:rsidR="006F3955" w:rsidRPr="0070052C" w:rsidRDefault="006F3955" w:rsidP="00305561">
                                <w:pPr>
                                  <w:rPr>
                                    <w:rFonts w:ascii="BOG 2017" w:hAnsi="BOG 2017"/>
                                    <w:lang w:val="ka-GE"/>
                                  </w:rPr>
                                </w:pPr>
                              </w:p>
                            </w:tc>
                            <w:tc>
                              <w:tcPr>
                                <w:tcW w:w="6750" w:type="dxa"/>
                                <w:shd w:val="clear" w:color="auto" w:fill="auto"/>
                              </w:tcPr>
                              <w:p w14:paraId="6C998CA0" w14:textId="482F87E0" w:rsidR="006F3955" w:rsidRPr="0070052C" w:rsidRDefault="006F3955" w:rsidP="007C5AE6">
                                <w:pPr>
                                  <w:rPr>
                                    <w:rFonts w:ascii="BOG 2017" w:hAnsi="BOG 2017"/>
                                    <w:lang w:val="ka-GE"/>
                                  </w:rPr>
                                </w:pPr>
                              </w:p>
                            </w:tc>
                          </w:tr>
                          <w:tr w:rsidR="006F3955" w:rsidRPr="00DF2E46" w14:paraId="2B52C5D3" w14:textId="77777777" w:rsidTr="00AD6B88">
                            <w:tc>
                              <w:tcPr>
                                <w:tcW w:w="3528" w:type="dxa"/>
                              </w:tcPr>
                              <w:p w14:paraId="03251D2E" w14:textId="5AF30440" w:rsidR="006F3955" w:rsidRPr="008B1594" w:rsidRDefault="006F3955" w:rsidP="009E06FA">
                                <w:pPr>
                                  <w:rPr>
                                    <w:lang w:val="ka-GE"/>
                                  </w:rPr>
                                </w:pPr>
                                <w:r w:rsidRPr="008B1594">
                                  <w:rPr>
                                    <w:lang w:val="ka-GE"/>
                                  </w:rPr>
                                  <w:t>გამოცხადების თარიღი:</w:t>
                                </w:r>
                              </w:p>
                              <w:p w14:paraId="05817507" w14:textId="37F6E610" w:rsidR="006F3955" w:rsidRPr="008B1594" w:rsidRDefault="006F3955" w:rsidP="009E06FA">
                                <w:pPr>
                                  <w:rPr>
                                    <w:lang w:val="ka-GE"/>
                                  </w:rPr>
                                </w:pPr>
                                <w:r w:rsidRPr="008B1594">
                                  <w:rPr>
                                    <w:lang w:val="ka-GE"/>
                                  </w:rPr>
                                  <w:t>დასრულების თარიღი:</w:t>
                                </w:r>
                              </w:p>
                            </w:tc>
                            <w:tc>
                              <w:tcPr>
                                <w:tcW w:w="6750" w:type="dxa"/>
                                <w:shd w:val="clear" w:color="auto" w:fill="auto"/>
                              </w:tcPr>
                              <w:p w14:paraId="1AB7A516" w14:textId="1215F04F" w:rsidR="006F3955" w:rsidRPr="008B1594" w:rsidRDefault="00107A63" w:rsidP="007C5AE6">
                                <w:pPr>
                                  <w:rPr>
                                    <w:lang w:val="ka-GE"/>
                                  </w:rPr>
                                </w:pPr>
                                <w:r>
                                  <w:t>10</w:t>
                                </w:r>
                                <w:r w:rsidR="00B906DA" w:rsidRPr="008B1594">
                                  <w:rPr>
                                    <w:lang w:val="ka-GE"/>
                                  </w:rPr>
                                  <w:t xml:space="preserve"> </w:t>
                                </w:r>
                                <w:r w:rsidR="00EE766B" w:rsidRPr="008B1594">
                                  <w:rPr>
                                    <w:lang w:val="ka-GE"/>
                                  </w:rPr>
                                  <w:t xml:space="preserve"> </w:t>
                                </w:r>
                                <w:r>
                                  <w:rPr>
                                    <w:lang w:val="ka-GE"/>
                                  </w:rPr>
                                  <w:t>მაისი</w:t>
                                </w:r>
                                <w:r w:rsidR="006F3955" w:rsidRPr="008B1594">
                                  <w:rPr>
                                    <w:lang w:val="ka-GE"/>
                                  </w:rPr>
                                  <w:t xml:space="preserve">  20</w:t>
                                </w:r>
                                <w:r w:rsidR="00A35CF7" w:rsidRPr="008B1594">
                                  <w:rPr>
                                    <w:lang w:val="ka-GE"/>
                                  </w:rPr>
                                  <w:t>2</w:t>
                                </w:r>
                                <w:r w:rsidR="00512B8A" w:rsidRPr="008B1594">
                                  <w:rPr>
                                    <w:lang w:val="ka-GE"/>
                                  </w:rPr>
                                  <w:t>3 (წინადადებების წარმოდგენას პრეტენდენტს შეეძლება</w:t>
                                </w:r>
                                <w:r>
                                  <w:rPr>
                                    <w:lang w:val="ka-GE"/>
                                  </w:rPr>
                                  <w:t xml:space="preserve"> 10</w:t>
                                </w:r>
                                <w:r w:rsidR="00512B8A" w:rsidRPr="008B1594">
                                  <w:rPr>
                                    <w:lang w:val="ka-GE"/>
                                  </w:rPr>
                                  <w:t xml:space="preserve"> </w:t>
                                </w:r>
                                <w:r>
                                  <w:rPr>
                                    <w:lang w:val="ka-GE"/>
                                  </w:rPr>
                                  <w:t>მისის</w:t>
                                </w:r>
                                <w:r w:rsidR="00512B8A" w:rsidRPr="008B1594">
                                  <w:rPr>
                                    <w:lang w:val="ka-GE"/>
                                  </w:rPr>
                                  <w:t xml:space="preserve"> 12:00 </w:t>
                                </w:r>
                                <w:r w:rsidR="00512B8A" w:rsidRPr="008B1594">
                                  <w:t>PM-</w:t>
                                </w:r>
                                <w:r w:rsidR="00512B8A" w:rsidRPr="008B1594">
                                  <w:rPr>
                                    <w:lang w:val="ka-GE"/>
                                  </w:rPr>
                                  <w:t>დან)</w:t>
                                </w:r>
                              </w:p>
                              <w:p w14:paraId="5273460A" w14:textId="12B03F90" w:rsidR="006F3955" w:rsidRPr="008B1594" w:rsidRDefault="00107A63" w:rsidP="00107A63">
                                <w:pPr>
                                  <w:rPr>
                                    <w:lang w:val="ka-GE"/>
                                  </w:rPr>
                                </w:pPr>
                                <w:r>
                                  <w:rPr>
                                    <w:lang w:val="ka-GE"/>
                                  </w:rPr>
                                  <w:t>17</w:t>
                                </w:r>
                                <w:r w:rsidR="00282F17" w:rsidRPr="008B1594">
                                  <w:rPr>
                                    <w:lang w:val="ka-GE"/>
                                  </w:rPr>
                                  <w:t xml:space="preserve"> </w:t>
                                </w:r>
                                <w:r>
                                  <w:rPr>
                                    <w:lang w:val="ka-GE"/>
                                  </w:rPr>
                                  <w:t>მაისის</w:t>
                                </w:r>
                                <w:r w:rsidR="00F94DFC" w:rsidRPr="008B1594">
                                  <w:rPr>
                                    <w:lang w:val="ka-GE"/>
                                  </w:rPr>
                                  <w:t xml:space="preserve"> 20</w:t>
                                </w:r>
                                <w:r w:rsidR="00A35CF7" w:rsidRPr="008B1594">
                                  <w:rPr>
                                    <w:lang w:val="ka-GE"/>
                                  </w:rPr>
                                  <w:t>2</w:t>
                                </w:r>
                                <w:r w:rsidR="00512B8A" w:rsidRPr="008B1594">
                                  <w:rPr>
                                    <w:lang w:val="ka-GE"/>
                                  </w:rPr>
                                  <w:t>3 6</w:t>
                                </w:r>
                                <w:r w:rsidR="003A15B6" w:rsidRPr="008B1594">
                                  <w:rPr>
                                    <w:lang w:val="ka-GE"/>
                                  </w:rPr>
                                  <w:t>:00PM</w:t>
                                </w:r>
                                <w:r w:rsidR="00512B8A" w:rsidRPr="008B1594">
                                  <w:rPr>
                                    <w:lang w:val="ka-GE"/>
                                  </w:rPr>
                                  <w:t xml:space="preserve"> </w:t>
                                </w:r>
                              </w:p>
                            </w:tc>
                          </w:tr>
                          <w:tr w:rsidR="006F3955" w:rsidRPr="00DF2E46" w14:paraId="26CDC481" w14:textId="77777777" w:rsidTr="00AD6B88">
                            <w:tc>
                              <w:tcPr>
                                <w:tcW w:w="3528" w:type="dxa"/>
                              </w:tcPr>
                              <w:p w14:paraId="217C017A" w14:textId="61DE790B" w:rsidR="006F3955" w:rsidRPr="002838F4" w:rsidRDefault="006F3955" w:rsidP="00305561">
                                <w:pPr>
                                  <w:rPr>
                                    <w:lang w:val="ka-GE"/>
                                  </w:rPr>
                                </w:pPr>
                              </w:p>
                            </w:tc>
                            <w:tc>
                              <w:tcPr>
                                <w:tcW w:w="6750" w:type="dxa"/>
                                <w:shd w:val="clear" w:color="auto" w:fill="auto"/>
                              </w:tcPr>
                              <w:p w14:paraId="2D516649" w14:textId="010CC497" w:rsidR="002348C6" w:rsidRPr="002348C6" w:rsidRDefault="002348C6" w:rsidP="00313B50">
                                <w:pPr>
                                  <w:rPr>
                                    <w:lang w:val="ka-GE"/>
                                  </w:rPr>
                                </w:pP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Pr="00BF2D89">
            <w:rPr>
              <w:rFonts w:ascii="BOG 2017" w:hAnsi="BOG 2017" w:cstheme="minorHAnsi"/>
              <w:noProof/>
              <w:sz w:val="18"/>
              <w:szCs w:val="18"/>
            </w:rPr>
            <mc:AlternateContent>
              <mc:Choice Requires="wps">
                <w:drawing>
                  <wp:anchor distT="0" distB="0" distL="114300" distR="114300" simplePos="0" relativeHeight="251657216" behindDoc="0" locked="0" layoutInCell="1" allowOverlap="1" wp14:anchorId="5A1988C8" wp14:editId="1A3D134C">
                    <wp:simplePos x="0" y="0"/>
                    <wp:positionH relativeFrom="margin">
                      <wp:align>left</wp:align>
                    </wp:positionH>
                    <wp:positionV relativeFrom="margin">
                      <wp:posOffset>958215</wp:posOffset>
                    </wp:positionV>
                    <wp:extent cx="6685915" cy="1257300"/>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64204" w14:textId="77777777" w:rsidR="00107A63" w:rsidRPr="00107A63" w:rsidRDefault="008464E9" w:rsidP="00107A63">
                                <w:pPr>
                                  <w:rPr>
                                    <w:b/>
                                    <w:bCs/>
                                    <w:sz w:val="22"/>
                                    <w:lang w:val="ka-GE"/>
                                  </w:rPr>
                                </w:pPr>
                                <w:r w:rsidRPr="00107A63">
                                  <w:rPr>
                                    <w:rFonts w:ascii="BOG 2017" w:hAnsi="BOG 2017" w:cs="Arial"/>
                                    <w:b/>
                                    <w:color w:val="auto"/>
                                    <w:sz w:val="44"/>
                                    <w:szCs w:val="56"/>
                                    <w:lang w:val="af-ZA"/>
                                  </w:rPr>
                                  <w:t xml:space="preserve"> </w:t>
                                </w:r>
                                <w:r w:rsidR="00107A63" w:rsidRPr="00107A63">
                                  <w:rPr>
                                    <w:b/>
                                    <w:bCs/>
                                    <w:sz w:val="22"/>
                                    <w:lang w:val="ka-GE"/>
                                  </w:rPr>
                                  <w:t xml:space="preserve">    სს „საქართველოს ბანკი“ აცხადებს ტენდერს კომპანია S</w:t>
                                </w:r>
                                <w:r w:rsidR="00107A63" w:rsidRPr="00107A63">
                                  <w:rPr>
                                    <w:b/>
                                    <w:bCs/>
                                    <w:sz w:val="22"/>
                                    <w:lang w:val="en-GB"/>
                                  </w:rPr>
                                  <w:t>TULZ</w:t>
                                </w:r>
                                <w:r w:rsidR="00107A63" w:rsidRPr="00107A63">
                                  <w:rPr>
                                    <w:b/>
                                    <w:bCs/>
                                    <w:sz w:val="22"/>
                                    <w:lang w:val="ka-GE"/>
                                  </w:rPr>
                                  <w:t>-ის წარმოების პრეციზიული კონდიცირების სისტემის შესყიდვა და მის შემდგომ ტექნიკურ მომსახურებაზე:</w:t>
                                </w:r>
                              </w:p>
                              <w:p w14:paraId="573A4337" w14:textId="09DB3253" w:rsidR="006F3955" w:rsidRDefault="006F3955" w:rsidP="003C604E">
                                <w:pPr>
                                  <w:jc w:val="center"/>
                                  <w:rPr>
                                    <w:rFonts w:asciiTheme="minorHAnsi" w:hAnsiTheme="minorHAnsi" w:cstheme="minorHAnsi"/>
                                    <w:b/>
                                    <w:color w:val="0000FF"/>
                                    <w:sz w:val="28"/>
                                    <w:szCs w:val="56"/>
                                    <w:lang w:val="ka-GE"/>
                                  </w:rPr>
                                </w:pPr>
                              </w:p>
                              <w:p w14:paraId="04BD26CA" w14:textId="77777777" w:rsidR="003C604E" w:rsidRPr="00EE766B" w:rsidRDefault="003C604E" w:rsidP="003C604E">
                                <w:pPr>
                                  <w:jc w:val="center"/>
                                  <w:rPr>
                                    <w:rFonts w:asciiTheme="minorHAnsi" w:hAnsiTheme="minorHAnsi"/>
                                    <w:b/>
                                    <w:color w:val="E36C0A" w:themeColor="accent6" w:themeShade="BF"/>
                                    <w:sz w:val="44"/>
                                    <w:szCs w:val="56"/>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0;margin-top:75.45pt;width:526.45pt;height:9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" fillcolor="white [3201]" stroked="f" strokeweight=".5pt">
                    <v:textbox>
                      <w:txbxContent>
                        <w:p w14:paraId="39264204" w14:textId="77777777" w:rsidR="00107A63" w:rsidRPr="00107A63" w:rsidRDefault="008464E9" w:rsidP="00107A63">
                          <w:pPr>
                            <w:rPr>
                              <w:b/>
                              <w:bCs/>
                              <w:sz w:val="22"/>
                              <w:lang w:val="ka-GE"/>
                            </w:rPr>
                          </w:pPr>
                          <w:r w:rsidRPr="00107A63">
                            <w:rPr>
                              <w:rFonts w:ascii="BOG 2017" w:hAnsi="BOG 2017" w:cs="Arial"/>
                              <w:b/>
                              <w:color w:val="auto"/>
                              <w:sz w:val="44"/>
                              <w:szCs w:val="56"/>
                              <w:lang w:val="af-ZA"/>
                            </w:rPr>
                            <w:t xml:space="preserve"> </w:t>
                          </w:r>
                          <w:r w:rsidR="00107A63" w:rsidRPr="00107A63">
                            <w:rPr>
                              <w:b/>
                              <w:bCs/>
                              <w:sz w:val="22"/>
                              <w:lang w:val="ka-GE"/>
                            </w:rPr>
                            <w:t xml:space="preserve">    </w:t>
                          </w:r>
                          <w:r w:rsidR="00107A63" w:rsidRPr="00107A63">
                            <w:rPr>
                              <w:b/>
                              <w:bCs/>
                              <w:sz w:val="22"/>
                              <w:lang w:val="ka-GE"/>
                            </w:rPr>
                            <w:t>სს „საქართველოს ბანკი“ აცხადებს ტენდერს კომპანია S</w:t>
                          </w:r>
                          <w:r w:rsidR="00107A63" w:rsidRPr="00107A63">
                            <w:rPr>
                              <w:b/>
                              <w:bCs/>
                              <w:sz w:val="22"/>
                              <w:lang w:val="en-GB"/>
                            </w:rPr>
                            <w:t>TULZ</w:t>
                          </w:r>
                          <w:r w:rsidR="00107A63" w:rsidRPr="00107A63">
                            <w:rPr>
                              <w:b/>
                              <w:bCs/>
                              <w:sz w:val="22"/>
                              <w:lang w:val="ka-GE"/>
                            </w:rPr>
                            <w:t>-ის წარმოების პრეციზიული კონდიცირების სისტემის შესყიდვა და მის შემდგომ ტექნიკურ მომსახურებაზე:</w:t>
                          </w:r>
                        </w:p>
                        <w:p w14:paraId="573A4337" w14:textId="09DB3253" w:rsidR="006F3955" w:rsidRDefault="006F3955" w:rsidP="003C604E">
                          <w:pPr>
                            <w:jc w:val="center"/>
                            <w:rPr>
                              <w:rFonts w:asciiTheme="minorHAnsi" w:hAnsiTheme="minorHAnsi" w:cstheme="minorHAnsi"/>
                              <w:b/>
                              <w:color w:val="0000FF"/>
                              <w:sz w:val="28"/>
                              <w:szCs w:val="56"/>
                              <w:lang w:val="ka-GE"/>
                            </w:rPr>
                          </w:pPr>
                        </w:p>
                        <w:p w14:paraId="04BD26CA" w14:textId="77777777" w:rsidR="003C604E" w:rsidRPr="00EE766B" w:rsidRDefault="003C604E" w:rsidP="003C604E">
                          <w:pPr>
                            <w:jc w:val="center"/>
                            <w:rPr>
                              <w:rFonts w:asciiTheme="minorHAnsi" w:hAnsiTheme="minorHAnsi"/>
                              <w:b/>
                              <w:color w:val="E36C0A" w:themeColor="accent6" w:themeShade="BF"/>
                              <w:sz w:val="44"/>
                              <w:szCs w:val="56"/>
                              <w:lang w:val="ka-GE"/>
                            </w:rPr>
                          </w:pPr>
                        </w:p>
                      </w:txbxContent>
                    </v:textbox>
                    <w10:wrap type="square" anchorx="margin" anchory="margin"/>
                  </v:shape>
                </w:pict>
              </mc:Fallback>
            </mc:AlternateContent>
          </w:r>
        </w:p>
        <w:p w14:paraId="715AD416" w14:textId="77777777" w:rsidR="00596DBA" w:rsidRPr="00596DBA" w:rsidRDefault="00596DBA" w:rsidP="00596DBA">
          <w:pPr>
            <w:rPr>
              <w:rFonts w:ascii="BOG 2017" w:hAnsi="BOG 2017" w:cstheme="minorHAnsi"/>
              <w:sz w:val="18"/>
              <w:szCs w:val="18"/>
            </w:rPr>
          </w:pPr>
        </w:p>
        <w:p w14:paraId="122E58B8" w14:textId="77777777" w:rsidR="00596DBA" w:rsidRPr="00596DBA" w:rsidRDefault="00596DBA" w:rsidP="00596DBA">
          <w:pPr>
            <w:rPr>
              <w:rFonts w:ascii="BOG 2017" w:hAnsi="BOG 2017" w:cstheme="minorHAnsi"/>
              <w:sz w:val="18"/>
              <w:szCs w:val="18"/>
            </w:rPr>
          </w:pPr>
        </w:p>
        <w:p w14:paraId="16FB52AA" w14:textId="77777777" w:rsidR="00596DBA" w:rsidRPr="00596DBA" w:rsidRDefault="00596DBA" w:rsidP="00596DBA">
          <w:pPr>
            <w:rPr>
              <w:rFonts w:ascii="BOG 2017" w:hAnsi="BOG 2017" w:cstheme="minorHAnsi"/>
              <w:sz w:val="18"/>
              <w:szCs w:val="18"/>
            </w:rPr>
          </w:pPr>
        </w:p>
        <w:p w14:paraId="6914D83B" w14:textId="77777777" w:rsidR="00596DBA" w:rsidRPr="00596DBA" w:rsidRDefault="00596DBA" w:rsidP="00596DBA">
          <w:pPr>
            <w:rPr>
              <w:rFonts w:ascii="BOG 2017" w:hAnsi="BOG 2017" w:cstheme="minorHAnsi"/>
              <w:sz w:val="18"/>
              <w:szCs w:val="18"/>
            </w:rPr>
          </w:pPr>
        </w:p>
        <w:p w14:paraId="3BEB1C5D" w14:textId="77777777" w:rsidR="00596DBA" w:rsidRPr="00596DBA" w:rsidRDefault="00596DBA" w:rsidP="00596DBA">
          <w:pPr>
            <w:rPr>
              <w:rFonts w:ascii="BOG 2017" w:hAnsi="BOG 2017" w:cstheme="minorHAnsi"/>
              <w:sz w:val="18"/>
              <w:szCs w:val="18"/>
            </w:rPr>
          </w:pPr>
        </w:p>
        <w:p w14:paraId="6F31C15B" w14:textId="77777777" w:rsidR="00596DBA" w:rsidRPr="00596DBA" w:rsidRDefault="00596DBA" w:rsidP="00596DBA">
          <w:pPr>
            <w:rPr>
              <w:rFonts w:ascii="BOG 2017" w:hAnsi="BOG 2017" w:cstheme="minorHAnsi"/>
              <w:sz w:val="18"/>
              <w:szCs w:val="18"/>
            </w:rPr>
          </w:pPr>
        </w:p>
        <w:p w14:paraId="70E837A2" w14:textId="77777777" w:rsidR="00596DBA" w:rsidRPr="00596DBA" w:rsidRDefault="00596DBA" w:rsidP="00596DBA">
          <w:pPr>
            <w:rPr>
              <w:rFonts w:ascii="BOG 2017" w:hAnsi="BOG 2017" w:cstheme="minorHAnsi"/>
              <w:sz w:val="18"/>
              <w:szCs w:val="18"/>
            </w:rPr>
          </w:pPr>
        </w:p>
        <w:p w14:paraId="1DB91FF0" w14:textId="77777777" w:rsidR="00596DBA" w:rsidRPr="00596DBA" w:rsidRDefault="00596DBA" w:rsidP="00596DBA">
          <w:pPr>
            <w:rPr>
              <w:rFonts w:ascii="BOG 2017" w:hAnsi="BOG 2017" w:cstheme="minorHAnsi"/>
              <w:sz w:val="18"/>
              <w:szCs w:val="18"/>
            </w:rPr>
          </w:pPr>
        </w:p>
        <w:p w14:paraId="5CE9CF46" w14:textId="77777777" w:rsidR="00596DBA" w:rsidRPr="00596DBA" w:rsidRDefault="00596DBA" w:rsidP="00596DBA">
          <w:pPr>
            <w:rPr>
              <w:rFonts w:ascii="BOG 2017" w:hAnsi="BOG 2017" w:cstheme="minorHAnsi"/>
              <w:sz w:val="18"/>
              <w:szCs w:val="18"/>
            </w:rPr>
          </w:pPr>
        </w:p>
        <w:p w14:paraId="70B37341" w14:textId="77777777" w:rsidR="00596DBA" w:rsidRPr="00596DBA" w:rsidRDefault="00596DBA" w:rsidP="00596DBA">
          <w:pPr>
            <w:rPr>
              <w:rFonts w:ascii="BOG 2017" w:hAnsi="BOG 2017" w:cstheme="minorHAnsi"/>
              <w:sz w:val="18"/>
              <w:szCs w:val="18"/>
            </w:rPr>
          </w:pPr>
        </w:p>
        <w:p w14:paraId="17BC3E16" w14:textId="77777777" w:rsidR="00596DBA" w:rsidRPr="00596DBA" w:rsidRDefault="00596DBA" w:rsidP="00596DBA">
          <w:pPr>
            <w:rPr>
              <w:rFonts w:ascii="BOG 2017" w:hAnsi="BOG 2017" w:cstheme="minorHAnsi"/>
              <w:sz w:val="18"/>
              <w:szCs w:val="18"/>
            </w:rPr>
          </w:pPr>
        </w:p>
        <w:p w14:paraId="31E49587" w14:textId="77777777" w:rsidR="00596DBA" w:rsidRPr="00596DBA" w:rsidRDefault="00596DBA" w:rsidP="00596DBA">
          <w:pPr>
            <w:rPr>
              <w:rFonts w:ascii="BOG 2017" w:hAnsi="BOG 2017" w:cstheme="minorHAnsi"/>
              <w:sz w:val="18"/>
              <w:szCs w:val="18"/>
            </w:rPr>
          </w:pPr>
        </w:p>
        <w:p w14:paraId="798246D0" w14:textId="77777777" w:rsidR="00596DBA" w:rsidRPr="00596DBA" w:rsidRDefault="00596DBA" w:rsidP="00596DBA">
          <w:pPr>
            <w:rPr>
              <w:rFonts w:ascii="BOG 2017" w:hAnsi="BOG 2017" w:cstheme="minorHAnsi"/>
              <w:sz w:val="18"/>
              <w:szCs w:val="18"/>
            </w:rPr>
          </w:pPr>
        </w:p>
        <w:p w14:paraId="55EDF8C7" w14:textId="77777777" w:rsidR="00596DBA" w:rsidRPr="00596DBA" w:rsidRDefault="00596DBA" w:rsidP="00596DBA">
          <w:pPr>
            <w:rPr>
              <w:rFonts w:ascii="BOG 2017" w:hAnsi="BOG 2017" w:cstheme="minorHAnsi"/>
              <w:sz w:val="18"/>
              <w:szCs w:val="18"/>
            </w:rPr>
          </w:pPr>
        </w:p>
        <w:p w14:paraId="57970669" w14:textId="72F6C5E2" w:rsidR="00596DBA" w:rsidRPr="00596DBA" w:rsidRDefault="00596DBA" w:rsidP="00596DBA">
          <w:pPr>
            <w:rPr>
              <w:color w:val="auto"/>
              <w:sz w:val="24"/>
              <w:szCs w:val="56"/>
              <w:u w:val="single"/>
            </w:rPr>
          </w:pPr>
          <w:r>
            <w:rPr>
              <w:rFonts w:ascii="BOG 2017" w:hAnsi="BOG 2017" w:cstheme="minorHAnsi"/>
              <w:sz w:val="18"/>
              <w:szCs w:val="18"/>
            </w:rPr>
            <w:tab/>
          </w:r>
          <w:r>
            <w:rPr>
              <w:rFonts w:asciiTheme="minorHAnsi" w:hAnsiTheme="minorHAnsi" w:cstheme="minorHAnsi"/>
              <w:sz w:val="18"/>
              <w:szCs w:val="18"/>
              <w:lang w:val="ka-GE"/>
            </w:rPr>
            <w:t xml:space="preserve"> </w:t>
          </w:r>
          <w:r w:rsidRPr="00596DBA">
            <w:rPr>
              <w:color w:val="auto"/>
              <w:sz w:val="24"/>
              <w:szCs w:val="56"/>
              <w:u w:val="single"/>
            </w:rPr>
            <w:t>საკონტაქტო პირი: ბექა მუმლაძე</w:t>
          </w:r>
        </w:p>
        <w:p w14:paraId="57DDCC26" w14:textId="00125D1A" w:rsidR="00596DBA" w:rsidRPr="00596DBA" w:rsidRDefault="00596DBA" w:rsidP="00596DBA">
          <w:pPr>
            <w:rPr>
              <w:color w:val="auto"/>
              <w:sz w:val="24"/>
              <w:szCs w:val="56"/>
              <w:u w:val="single"/>
            </w:rPr>
          </w:pPr>
          <w:r w:rsidRPr="00596DBA">
            <w:rPr>
              <w:color w:val="auto"/>
              <w:sz w:val="24"/>
              <w:szCs w:val="56"/>
              <w:u w:val="single"/>
              <w:lang w:val="ka-GE"/>
            </w:rPr>
            <w:t xml:space="preserve">   </w:t>
          </w:r>
          <w:r w:rsidRPr="00596DBA">
            <w:rPr>
              <w:color w:val="auto"/>
              <w:sz w:val="24"/>
              <w:szCs w:val="56"/>
              <w:u w:val="single"/>
            </w:rPr>
            <w:t>ელ. ფოსტა: b.mumladze@bog.ge</w:t>
          </w:r>
        </w:p>
        <w:p w14:paraId="72EDBE1F" w14:textId="063D2666" w:rsidR="00596DBA" w:rsidRPr="00596DBA" w:rsidRDefault="00596DBA" w:rsidP="00596DBA">
          <w:pPr>
            <w:rPr>
              <w:color w:val="auto"/>
              <w:sz w:val="24"/>
              <w:szCs w:val="56"/>
              <w:u w:val="single"/>
            </w:rPr>
          </w:pPr>
          <w:r w:rsidRPr="00596DBA">
            <w:rPr>
              <w:color w:val="auto"/>
              <w:sz w:val="24"/>
              <w:szCs w:val="56"/>
              <w:u w:val="single"/>
              <w:lang w:val="ka-GE"/>
            </w:rPr>
            <w:t xml:space="preserve">   </w:t>
          </w:r>
          <w:r w:rsidRPr="00596DBA">
            <w:rPr>
              <w:color w:val="auto"/>
              <w:sz w:val="24"/>
              <w:szCs w:val="56"/>
              <w:u w:val="single"/>
            </w:rPr>
            <w:t>მობ: +995 551 46 20 03</w:t>
          </w:r>
        </w:p>
        <w:p w14:paraId="7E9FC2CE" w14:textId="277E5149" w:rsidR="00596DBA" w:rsidRPr="00596DBA" w:rsidRDefault="00596DBA" w:rsidP="00596DBA">
          <w:pPr>
            <w:tabs>
              <w:tab w:val="left" w:pos="1700"/>
            </w:tabs>
            <w:rPr>
              <w:rFonts w:ascii="BOG 2017" w:hAnsi="BOG 2017" w:cstheme="minorHAnsi"/>
              <w:sz w:val="18"/>
              <w:szCs w:val="18"/>
            </w:rPr>
          </w:pPr>
        </w:p>
        <w:p w14:paraId="188B08C4" w14:textId="77777777" w:rsidR="00596DBA" w:rsidRPr="00596DBA" w:rsidRDefault="00596DBA" w:rsidP="00596DBA">
          <w:pPr>
            <w:rPr>
              <w:rFonts w:ascii="BOG 2017" w:hAnsi="BOG 2017" w:cstheme="minorHAnsi"/>
              <w:sz w:val="18"/>
              <w:szCs w:val="18"/>
            </w:rPr>
          </w:pPr>
        </w:p>
        <w:p w14:paraId="1A57D4F2" w14:textId="77777777" w:rsidR="00596DBA" w:rsidRPr="00596DBA" w:rsidRDefault="00596DBA" w:rsidP="00596DBA">
          <w:pPr>
            <w:rPr>
              <w:rFonts w:ascii="BOG 2017" w:hAnsi="BOG 2017" w:cstheme="minorHAnsi"/>
              <w:sz w:val="18"/>
              <w:szCs w:val="18"/>
            </w:rPr>
          </w:pPr>
        </w:p>
        <w:p w14:paraId="7533C40A" w14:textId="77777777" w:rsidR="00596DBA" w:rsidRPr="00596DBA" w:rsidRDefault="00596DBA" w:rsidP="00596DBA">
          <w:pPr>
            <w:rPr>
              <w:rFonts w:ascii="BOG 2017" w:hAnsi="BOG 2017" w:cstheme="minorHAnsi"/>
              <w:sz w:val="18"/>
              <w:szCs w:val="18"/>
            </w:rPr>
          </w:pPr>
        </w:p>
        <w:p w14:paraId="0B5CBBD7" w14:textId="77777777" w:rsidR="00596DBA" w:rsidRPr="00596DBA" w:rsidRDefault="00596DBA" w:rsidP="00596DBA">
          <w:pPr>
            <w:rPr>
              <w:rFonts w:ascii="BOG 2017" w:hAnsi="BOG 2017" w:cstheme="minorHAnsi"/>
              <w:sz w:val="18"/>
              <w:szCs w:val="18"/>
            </w:rPr>
          </w:pPr>
        </w:p>
        <w:p w14:paraId="0DCF654F" w14:textId="77777777" w:rsidR="00596DBA" w:rsidRPr="00596DBA" w:rsidRDefault="00596DBA" w:rsidP="00596DBA">
          <w:pPr>
            <w:rPr>
              <w:rFonts w:ascii="BOG 2017" w:hAnsi="BOG 2017" w:cstheme="minorHAnsi"/>
              <w:sz w:val="18"/>
              <w:szCs w:val="18"/>
            </w:rPr>
          </w:pPr>
        </w:p>
        <w:p w14:paraId="6B7E9560" w14:textId="77777777" w:rsidR="00596DBA" w:rsidRPr="00596DBA" w:rsidRDefault="00596DBA" w:rsidP="00596DBA">
          <w:pPr>
            <w:rPr>
              <w:rFonts w:ascii="BOG 2017" w:hAnsi="BOG 2017" w:cstheme="minorHAnsi"/>
              <w:sz w:val="18"/>
              <w:szCs w:val="18"/>
            </w:rPr>
          </w:pPr>
        </w:p>
        <w:p w14:paraId="06A36CD9" w14:textId="77777777" w:rsidR="00596DBA" w:rsidRPr="00596DBA" w:rsidRDefault="00596DBA" w:rsidP="00596DBA">
          <w:pPr>
            <w:rPr>
              <w:rFonts w:ascii="BOG 2017" w:hAnsi="BOG 2017" w:cstheme="minorHAnsi"/>
              <w:sz w:val="18"/>
              <w:szCs w:val="18"/>
            </w:rPr>
          </w:pPr>
        </w:p>
        <w:p w14:paraId="235D3B4D" w14:textId="77777777" w:rsidR="00596DBA" w:rsidRPr="00596DBA" w:rsidRDefault="00596DBA" w:rsidP="00596DBA">
          <w:pPr>
            <w:rPr>
              <w:rFonts w:ascii="BOG 2017" w:hAnsi="BOG 2017" w:cstheme="minorHAnsi"/>
              <w:sz w:val="18"/>
              <w:szCs w:val="18"/>
            </w:rPr>
          </w:pPr>
        </w:p>
        <w:p w14:paraId="2E6293E9" w14:textId="77777777" w:rsidR="00596DBA" w:rsidRPr="00596DBA" w:rsidRDefault="00596DBA" w:rsidP="00596DBA">
          <w:pPr>
            <w:rPr>
              <w:rFonts w:ascii="BOG 2017" w:hAnsi="BOG 2017" w:cstheme="minorHAnsi"/>
              <w:sz w:val="18"/>
              <w:szCs w:val="18"/>
            </w:rPr>
          </w:pPr>
        </w:p>
        <w:p w14:paraId="6EB525CA" w14:textId="77777777" w:rsidR="00596DBA" w:rsidRPr="00596DBA" w:rsidRDefault="00596DBA" w:rsidP="00596DBA">
          <w:pPr>
            <w:rPr>
              <w:rFonts w:ascii="BOG 2017" w:hAnsi="BOG 2017" w:cstheme="minorHAnsi"/>
              <w:sz w:val="18"/>
              <w:szCs w:val="18"/>
            </w:rPr>
          </w:pPr>
        </w:p>
        <w:p w14:paraId="278242D0" w14:textId="77777777" w:rsidR="00596DBA" w:rsidRPr="00596DBA" w:rsidRDefault="00596DBA" w:rsidP="00596DBA">
          <w:pPr>
            <w:rPr>
              <w:rFonts w:ascii="BOG 2017" w:hAnsi="BOG 2017" w:cstheme="minorHAnsi"/>
              <w:sz w:val="18"/>
              <w:szCs w:val="18"/>
            </w:rPr>
          </w:pPr>
        </w:p>
        <w:p w14:paraId="6E6DDFE4" w14:textId="77777777" w:rsidR="00596DBA" w:rsidRPr="00596DBA" w:rsidRDefault="00596DBA" w:rsidP="00596DBA">
          <w:pPr>
            <w:rPr>
              <w:rFonts w:ascii="BOG 2017" w:hAnsi="BOG 2017" w:cstheme="minorHAnsi"/>
              <w:sz w:val="18"/>
              <w:szCs w:val="18"/>
            </w:rPr>
          </w:pPr>
        </w:p>
        <w:p w14:paraId="2EF5552B" w14:textId="77777777" w:rsidR="00596DBA" w:rsidRPr="00596DBA" w:rsidRDefault="00596DBA" w:rsidP="00596DBA">
          <w:pPr>
            <w:rPr>
              <w:rFonts w:ascii="BOG 2017" w:hAnsi="BOG 2017" w:cstheme="minorHAnsi"/>
              <w:sz w:val="18"/>
              <w:szCs w:val="18"/>
            </w:rPr>
          </w:pPr>
        </w:p>
        <w:p w14:paraId="3619AE42" w14:textId="77777777" w:rsidR="00596DBA" w:rsidRPr="00596DBA" w:rsidRDefault="00596DBA" w:rsidP="00596DBA">
          <w:pPr>
            <w:rPr>
              <w:rFonts w:ascii="BOG 2017" w:hAnsi="BOG 2017" w:cstheme="minorHAnsi"/>
              <w:sz w:val="18"/>
              <w:szCs w:val="18"/>
            </w:rPr>
          </w:pPr>
        </w:p>
        <w:p w14:paraId="126A5E21" w14:textId="77777777" w:rsidR="00596DBA" w:rsidRPr="00596DBA" w:rsidRDefault="00596DBA" w:rsidP="00596DBA">
          <w:pPr>
            <w:rPr>
              <w:rFonts w:ascii="BOG 2017" w:hAnsi="BOG 2017" w:cstheme="minorHAnsi"/>
              <w:sz w:val="18"/>
              <w:szCs w:val="18"/>
            </w:rPr>
          </w:pPr>
        </w:p>
        <w:p w14:paraId="2F22F811" w14:textId="77777777" w:rsidR="00596DBA" w:rsidRPr="00596DBA" w:rsidRDefault="00596DBA" w:rsidP="00596DBA">
          <w:pPr>
            <w:rPr>
              <w:rFonts w:ascii="BOG 2017" w:hAnsi="BOG 2017" w:cstheme="minorHAnsi"/>
              <w:sz w:val="18"/>
              <w:szCs w:val="18"/>
            </w:rPr>
          </w:pPr>
        </w:p>
        <w:p w14:paraId="116DB2A0" w14:textId="77777777" w:rsidR="00596DBA" w:rsidRPr="00596DBA" w:rsidRDefault="00596DBA" w:rsidP="00596DBA">
          <w:pPr>
            <w:rPr>
              <w:rFonts w:ascii="BOG 2017" w:hAnsi="BOG 2017" w:cstheme="minorHAnsi"/>
              <w:sz w:val="18"/>
              <w:szCs w:val="18"/>
            </w:rPr>
          </w:pPr>
        </w:p>
        <w:p w14:paraId="619B8D08" w14:textId="77777777" w:rsidR="00596DBA" w:rsidRPr="00596DBA" w:rsidRDefault="00596DBA" w:rsidP="00596DBA">
          <w:pPr>
            <w:rPr>
              <w:rFonts w:ascii="BOG 2017" w:hAnsi="BOG 2017" w:cstheme="minorHAnsi"/>
              <w:sz w:val="18"/>
              <w:szCs w:val="18"/>
            </w:rPr>
          </w:pPr>
        </w:p>
        <w:p w14:paraId="09FAEDC2" w14:textId="386A5069" w:rsidR="00107A63" w:rsidRPr="001B6EDB" w:rsidRDefault="002E7950" w:rsidP="00107A63">
          <w:pPr>
            <w:jc w:val="center"/>
            <w:rPr>
              <w:rFonts w:ascii="AcadNusx" w:hAnsi="AcadNusx"/>
              <w:b/>
              <w:bCs/>
            </w:rPr>
          </w:pPr>
          <w:r w:rsidRPr="00596DBA">
            <w:rPr>
              <w:rFonts w:ascii="BOG 2017" w:hAnsi="BOG 2017" w:cstheme="minorHAnsi"/>
              <w:sz w:val="18"/>
              <w:szCs w:val="18"/>
            </w:rPr>
            <w:br w:type="page"/>
          </w:r>
          <w:r w:rsidR="00107A63">
            <w:rPr>
              <w:b/>
              <w:bCs/>
              <w:lang w:val="ka-GE"/>
            </w:rPr>
            <w:lastRenderedPageBreak/>
            <w:t>საქონლის/მომსახურების შესყიდვის ტენდერი</w:t>
          </w:r>
        </w:p>
        <w:p w14:paraId="6EA54395" w14:textId="77777777" w:rsidR="00DA2F77" w:rsidRDefault="00107A63" w:rsidP="00107A63">
          <w:pPr>
            <w:rPr>
              <w:bCs/>
              <w:lang w:val="ka-GE"/>
            </w:rPr>
          </w:pPr>
          <w:r w:rsidRPr="007B3EC6">
            <w:rPr>
              <w:bCs/>
              <w:lang w:val="ka-GE"/>
            </w:rPr>
            <w:t xml:space="preserve">  </w:t>
          </w:r>
        </w:p>
        <w:p w14:paraId="0CABE337" w14:textId="551EA590" w:rsidR="00107A63" w:rsidRDefault="00107A63" w:rsidP="00107A63">
          <w:pPr>
            <w:rPr>
              <w:bCs/>
              <w:lang w:val="ka-GE"/>
            </w:rPr>
          </w:pPr>
          <w:bookmarkStart w:id="0" w:name="_GoBack"/>
          <w:bookmarkEnd w:id="0"/>
          <w:r w:rsidRPr="007B3EC6">
            <w:rPr>
              <w:bCs/>
              <w:lang w:val="ka-GE"/>
            </w:rPr>
            <w:t xml:space="preserve">  </w:t>
          </w:r>
          <w:r>
            <w:rPr>
              <w:bCs/>
              <w:lang w:val="ka-GE"/>
            </w:rPr>
            <w:t>სს „საქართველოს ბანკი“</w:t>
          </w:r>
          <w:r w:rsidRPr="007B3EC6">
            <w:rPr>
              <w:bCs/>
              <w:lang w:val="ka-GE"/>
            </w:rPr>
            <w:t xml:space="preserve"> </w:t>
          </w:r>
          <w:r>
            <w:rPr>
              <w:bCs/>
              <w:lang w:val="ka-GE"/>
            </w:rPr>
            <w:t>აცხადებს</w:t>
          </w:r>
          <w:r w:rsidRPr="007B3EC6">
            <w:rPr>
              <w:bCs/>
              <w:lang w:val="ka-GE"/>
            </w:rPr>
            <w:t xml:space="preserve"> </w:t>
          </w:r>
          <w:r>
            <w:rPr>
              <w:bCs/>
              <w:lang w:val="ka-GE"/>
            </w:rPr>
            <w:t xml:space="preserve">ტენდერს </w:t>
          </w:r>
          <w:r w:rsidRPr="002A6657">
            <w:rPr>
              <w:bCs/>
              <w:lang w:val="ka-GE"/>
            </w:rPr>
            <w:t>კომპანია</w:t>
          </w:r>
          <w:r>
            <w:rPr>
              <w:bCs/>
              <w:lang w:val="ka-GE"/>
            </w:rPr>
            <w:t xml:space="preserve"> </w:t>
          </w:r>
          <w:r w:rsidRPr="002A6657">
            <w:rPr>
              <w:bCs/>
              <w:lang w:val="ka-GE"/>
            </w:rPr>
            <w:t>S</w:t>
          </w:r>
          <w:r>
            <w:rPr>
              <w:bCs/>
              <w:lang w:val="en-GB"/>
            </w:rPr>
            <w:t>TULZ</w:t>
          </w:r>
          <w:r w:rsidRPr="002A6657">
            <w:rPr>
              <w:bCs/>
              <w:lang w:val="ka-GE"/>
            </w:rPr>
            <w:t>-</w:t>
          </w:r>
          <w:r>
            <w:rPr>
              <w:bCs/>
              <w:lang w:val="ka-GE"/>
            </w:rPr>
            <w:t xml:space="preserve">ის </w:t>
          </w:r>
          <w:r w:rsidRPr="002A6657">
            <w:rPr>
              <w:bCs/>
              <w:lang w:val="ka-GE"/>
            </w:rPr>
            <w:t xml:space="preserve">წარმოების პრეციზიული კონდიცირების სისტემის </w:t>
          </w:r>
          <w:r>
            <w:rPr>
              <w:bCs/>
              <w:lang w:val="ka-GE"/>
            </w:rPr>
            <w:t xml:space="preserve">შესყიდვა და მის შემდგომ </w:t>
          </w:r>
          <w:r w:rsidRPr="002A6657">
            <w:rPr>
              <w:bCs/>
              <w:lang w:val="ka-GE"/>
            </w:rPr>
            <w:t>ტექნიკურ მომსახურება</w:t>
          </w:r>
          <w:r>
            <w:rPr>
              <w:bCs/>
              <w:lang w:val="ka-GE"/>
            </w:rPr>
            <w:t>ზე:</w:t>
          </w:r>
        </w:p>
        <w:tbl>
          <w:tblPr>
            <w:tblStyle w:val="TableGrid"/>
            <w:tblW w:w="0" w:type="auto"/>
            <w:tblLook w:val="04A0" w:firstRow="1" w:lastRow="0" w:firstColumn="1" w:lastColumn="0" w:noHBand="0" w:noVBand="1"/>
          </w:tblPr>
          <w:tblGrid>
            <w:gridCol w:w="4855"/>
            <w:gridCol w:w="2321"/>
            <w:gridCol w:w="2534"/>
          </w:tblGrid>
          <w:tr w:rsidR="00107A63" w14:paraId="4F16B121" w14:textId="77777777" w:rsidTr="00B779A4">
            <w:tc>
              <w:tcPr>
                <w:tcW w:w="4855" w:type="dxa"/>
              </w:tcPr>
              <w:p w14:paraId="393869A8" w14:textId="77777777" w:rsidR="00107A63" w:rsidRPr="002A6657" w:rsidRDefault="00107A63" w:rsidP="00B779A4">
                <w:pPr>
                  <w:spacing w:after="200" w:line="276" w:lineRule="auto"/>
                  <w:rPr>
                    <w:b/>
                    <w:bCs/>
                    <w:lang w:val="ka-GE"/>
                  </w:rPr>
                </w:pPr>
                <w:r w:rsidRPr="002A6657">
                  <w:rPr>
                    <w:b/>
                    <w:bCs/>
                    <w:lang w:val="ka-GE"/>
                  </w:rPr>
                  <w:t>Unit type / Condenser</w:t>
                </w:r>
              </w:p>
            </w:tc>
            <w:tc>
              <w:tcPr>
                <w:tcW w:w="2321" w:type="dxa"/>
                <w:tcBorders>
                  <w:right w:val="single" w:sz="4" w:space="0" w:color="auto"/>
                </w:tcBorders>
              </w:tcPr>
              <w:p w14:paraId="443A201B" w14:textId="77777777" w:rsidR="00107A63" w:rsidRPr="002A6657" w:rsidRDefault="00107A63" w:rsidP="00B779A4">
                <w:pPr>
                  <w:spacing w:after="200" w:line="276" w:lineRule="auto"/>
                  <w:rPr>
                    <w:bCs/>
                    <w:lang w:val="ka-GE"/>
                  </w:rPr>
                </w:pPr>
                <w:r w:rsidRPr="002A6657">
                  <w:rPr>
                    <w:b/>
                    <w:bCs/>
                    <w:lang w:val="ka-GE"/>
                  </w:rPr>
                  <w:t>Qty</w:t>
                </w:r>
                <w:r w:rsidRPr="002A6657">
                  <w:rPr>
                    <w:bCs/>
                    <w:lang w:val="ka-GE"/>
                  </w:rPr>
                  <w:t>.</w:t>
                </w:r>
              </w:p>
            </w:tc>
            <w:tc>
              <w:tcPr>
                <w:tcW w:w="2534" w:type="dxa"/>
                <w:tcBorders>
                  <w:left w:val="single" w:sz="4" w:space="0" w:color="auto"/>
                </w:tcBorders>
              </w:tcPr>
              <w:p w14:paraId="04EE8FFE" w14:textId="77777777" w:rsidR="00107A63" w:rsidRPr="00393B46" w:rsidRDefault="00107A63" w:rsidP="00B779A4">
                <w:pPr>
                  <w:rPr>
                    <w:bCs/>
                    <w:lang w:val="en-GB"/>
                  </w:rPr>
                </w:pPr>
                <w:r>
                  <w:rPr>
                    <w:bCs/>
                    <w:lang w:val="en-GB"/>
                  </w:rPr>
                  <w:t>Options</w:t>
                </w:r>
              </w:p>
            </w:tc>
          </w:tr>
          <w:tr w:rsidR="00107A63" w14:paraId="1C47A8DA" w14:textId="77777777" w:rsidTr="00B779A4">
            <w:trPr>
              <w:trHeight w:val="296"/>
            </w:trPr>
            <w:tc>
              <w:tcPr>
                <w:tcW w:w="4855" w:type="dxa"/>
              </w:tcPr>
              <w:p w14:paraId="34961F1F" w14:textId="77777777" w:rsidR="00107A63" w:rsidRDefault="00107A63" w:rsidP="00B779A4">
                <w:pPr>
                  <w:spacing w:after="200" w:line="276" w:lineRule="auto"/>
                  <w:rPr>
                    <w:bCs/>
                    <w:lang w:val="ka-GE"/>
                  </w:rPr>
                </w:pPr>
                <w:r w:rsidRPr="002A6657">
                  <w:rPr>
                    <w:bCs/>
                    <w:lang w:val="ka-GE"/>
                  </w:rPr>
                  <w:t xml:space="preserve">ASD </w:t>
                </w:r>
                <w:r>
                  <w:rPr>
                    <w:bCs/>
                  </w:rPr>
                  <w:t>44</w:t>
                </w:r>
                <w:r w:rsidRPr="002A6657">
                  <w:rPr>
                    <w:bCs/>
                    <w:lang w:val="ka-GE"/>
                  </w:rPr>
                  <w:t>1 A / KSV057A31p</w:t>
                </w:r>
              </w:p>
            </w:tc>
            <w:tc>
              <w:tcPr>
                <w:tcW w:w="2321" w:type="dxa"/>
                <w:tcBorders>
                  <w:right w:val="single" w:sz="4" w:space="0" w:color="auto"/>
                </w:tcBorders>
              </w:tcPr>
              <w:p w14:paraId="7E34C3D2" w14:textId="77777777" w:rsidR="00107A63" w:rsidRPr="0051231E" w:rsidRDefault="00107A63" w:rsidP="00B779A4">
                <w:pPr>
                  <w:spacing w:after="200" w:line="276" w:lineRule="auto"/>
                  <w:rPr>
                    <w:bCs/>
                  </w:rPr>
                </w:pPr>
                <w:r>
                  <w:rPr>
                    <w:bCs/>
                  </w:rPr>
                  <w:t>2</w:t>
                </w:r>
              </w:p>
            </w:tc>
            <w:tc>
              <w:tcPr>
                <w:tcW w:w="2534" w:type="dxa"/>
                <w:tcBorders>
                  <w:left w:val="single" w:sz="4" w:space="0" w:color="auto"/>
                </w:tcBorders>
              </w:tcPr>
              <w:p w14:paraId="49494E24" w14:textId="77777777" w:rsidR="00107A63" w:rsidRPr="0051231E" w:rsidRDefault="00107A63" w:rsidP="00B779A4">
                <w:pPr>
                  <w:rPr>
                    <w:bCs/>
                  </w:rPr>
                </w:pPr>
              </w:p>
            </w:tc>
          </w:tr>
          <w:tr w:rsidR="00107A63" w14:paraId="01AF37B6" w14:textId="77777777" w:rsidTr="00B779A4">
            <w:tc>
              <w:tcPr>
                <w:tcW w:w="4855" w:type="dxa"/>
              </w:tcPr>
              <w:p w14:paraId="04256AA5" w14:textId="77777777" w:rsidR="00107A63" w:rsidRPr="0069241A" w:rsidRDefault="00107A63" w:rsidP="00B779A4">
                <w:pPr>
                  <w:spacing w:after="200" w:line="276" w:lineRule="auto"/>
                  <w:rPr>
                    <w:bCs/>
                    <w:lang w:val="ka-GE"/>
                  </w:rPr>
                </w:pPr>
                <w:r w:rsidRPr="002A6657">
                  <w:rPr>
                    <w:bCs/>
                    <w:lang w:val="ka-GE"/>
                  </w:rPr>
                  <w:t xml:space="preserve">1 წლიანი </w:t>
                </w:r>
                <w:r>
                  <w:rPr>
                    <w:bCs/>
                    <w:lang w:val="ka-GE"/>
                  </w:rPr>
                  <w:t>ტექნიკური მომსახურება</w:t>
                </w:r>
                <w:r>
                  <w:rPr>
                    <w:bCs/>
                  </w:rPr>
                  <w:t xml:space="preserve"> + SLA</w:t>
                </w:r>
              </w:p>
            </w:tc>
            <w:tc>
              <w:tcPr>
                <w:tcW w:w="2321" w:type="dxa"/>
                <w:tcBorders>
                  <w:right w:val="single" w:sz="4" w:space="0" w:color="auto"/>
                </w:tcBorders>
              </w:tcPr>
              <w:p w14:paraId="2A78FF4E" w14:textId="77777777" w:rsidR="00107A63" w:rsidRPr="002A6657" w:rsidRDefault="00107A63" w:rsidP="00B779A4">
                <w:pPr>
                  <w:spacing w:after="200" w:line="276" w:lineRule="auto"/>
                  <w:rPr>
                    <w:bCs/>
                    <w:lang w:val="ka-GE"/>
                  </w:rPr>
                </w:pPr>
              </w:p>
            </w:tc>
            <w:tc>
              <w:tcPr>
                <w:tcW w:w="2534" w:type="dxa"/>
                <w:tcBorders>
                  <w:left w:val="single" w:sz="4" w:space="0" w:color="auto"/>
                </w:tcBorders>
              </w:tcPr>
              <w:p w14:paraId="7EE7121F" w14:textId="77777777" w:rsidR="00107A63" w:rsidRPr="002A6657" w:rsidRDefault="00107A63" w:rsidP="00B779A4">
                <w:pPr>
                  <w:rPr>
                    <w:bCs/>
                    <w:lang w:val="ka-GE"/>
                  </w:rPr>
                </w:pPr>
              </w:p>
            </w:tc>
          </w:tr>
          <w:tr w:rsidR="00107A63" w14:paraId="1D790C28" w14:textId="77777777" w:rsidTr="00B779A4">
            <w:tc>
              <w:tcPr>
                <w:tcW w:w="9710" w:type="dxa"/>
                <w:gridSpan w:val="3"/>
              </w:tcPr>
              <w:p w14:paraId="39F8EBC1" w14:textId="77777777" w:rsidR="00107A63" w:rsidRDefault="00107A63" w:rsidP="00B779A4">
                <w:pPr>
                  <w:rPr>
                    <w:bCs/>
                    <w:lang w:val="ka-GE"/>
                  </w:rPr>
                </w:pPr>
                <w:r>
                  <w:rPr>
                    <w:bCs/>
                    <w:lang w:val="ka-GE"/>
                  </w:rPr>
                  <w:t>ობიექტებზე არსებული კონდიციონერების დემონტაჟი/ახლის მონტაჟი</w:t>
                </w:r>
              </w:p>
            </w:tc>
          </w:tr>
        </w:tbl>
        <w:p w14:paraId="47D4181F" w14:textId="77777777" w:rsidR="00107A63" w:rsidRDefault="00107A63" w:rsidP="00107A63">
          <w:pPr>
            <w:rPr>
              <w:bCs/>
              <w:lang w:val="ka-GE"/>
            </w:rPr>
          </w:pPr>
        </w:p>
        <w:p w14:paraId="2EAE42F1" w14:textId="77777777" w:rsidR="00107A63" w:rsidRPr="001F7CFA" w:rsidRDefault="00107A63" w:rsidP="00107A63">
          <w:pPr>
            <w:rPr>
              <w:b/>
              <w:bCs/>
              <w:lang w:val="ka-GE"/>
            </w:rPr>
          </w:pPr>
          <w:r w:rsidRPr="001F7CFA">
            <w:rPr>
              <w:b/>
              <w:bCs/>
              <w:lang w:val="ka-GE"/>
            </w:rPr>
            <w:t>დამატებითი მოთხოვნები</w:t>
          </w:r>
          <w:r w:rsidRPr="001F7CFA">
            <w:rPr>
              <w:b/>
              <w:bCs/>
            </w:rPr>
            <w:t>:</w:t>
          </w:r>
        </w:p>
        <w:p w14:paraId="6E4ADDAE" w14:textId="77777777" w:rsidR="00107A63" w:rsidRPr="001F7CFA" w:rsidRDefault="00107A63" w:rsidP="00107A63">
          <w:pPr>
            <w:numPr>
              <w:ilvl w:val="0"/>
              <w:numId w:val="27"/>
            </w:numPr>
            <w:spacing w:after="200" w:line="276" w:lineRule="auto"/>
            <w:jc w:val="left"/>
            <w:rPr>
              <w:bCs/>
              <w:lang w:val="ka-GE"/>
            </w:rPr>
          </w:pPr>
          <w:r w:rsidRPr="001F7CFA">
            <w:rPr>
              <w:bCs/>
              <w:lang w:val="ka-GE"/>
            </w:rPr>
            <w:t>წარმოდგენილი ფასები უნდა შეიცავდეს ყველა სახის გადასახადს</w:t>
          </w:r>
        </w:p>
        <w:p w14:paraId="49275D03" w14:textId="77777777" w:rsidR="00107A63" w:rsidRPr="001F7CFA" w:rsidRDefault="00107A63" w:rsidP="00107A63">
          <w:pPr>
            <w:numPr>
              <w:ilvl w:val="0"/>
              <w:numId w:val="27"/>
            </w:numPr>
            <w:spacing w:after="200" w:line="276" w:lineRule="auto"/>
            <w:jc w:val="left"/>
            <w:rPr>
              <w:bCs/>
              <w:lang w:val="ka-GE"/>
            </w:rPr>
          </w:pPr>
          <w:r w:rsidRPr="001F7CFA">
            <w:rPr>
              <w:bCs/>
              <w:lang w:val="ka-GE"/>
            </w:rPr>
            <w:t>მომწოდებელმა უნდა ატვირთოს შემდეგი სახის დოკუმენტაცია PDF ან Word–</w:t>
          </w:r>
          <w:r w:rsidRPr="001F7CFA">
            <w:rPr>
              <w:bCs/>
            </w:rPr>
            <w:t xml:space="preserve">is </w:t>
          </w:r>
          <w:r w:rsidRPr="001F7CFA">
            <w:rPr>
              <w:bCs/>
              <w:lang w:val="ka-GE"/>
            </w:rPr>
            <w:t>ფორმატში</w:t>
          </w:r>
          <w:r w:rsidRPr="001F7CFA">
            <w:rPr>
              <w:bCs/>
            </w:rPr>
            <w:t>:</w:t>
          </w:r>
        </w:p>
        <w:p w14:paraId="06281F39" w14:textId="77777777" w:rsidR="00107A63" w:rsidRPr="001F7CFA" w:rsidRDefault="00107A63" w:rsidP="00107A63">
          <w:pPr>
            <w:numPr>
              <w:ilvl w:val="0"/>
              <w:numId w:val="28"/>
            </w:numPr>
            <w:spacing w:after="200" w:line="276" w:lineRule="auto"/>
            <w:jc w:val="left"/>
            <w:rPr>
              <w:bCs/>
              <w:lang w:val="ka-GE"/>
            </w:rPr>
          </w:pPr>
          <w:r w:rsidRPr="001F7CFA">
            <w:rPr>
              <w:bCs/>
              <w:lang w:val="ka-GE"/>
            </w:rPr>
            <w:t>საჯარო რეესტრიდან განახლებული სამეწარმეო ამონაწერი;</w:t>
          </w:r>
        </w:p>
        <w:p w14:paraId="4C428D19" w14:textId="77777777" w:rsidR="00107A63" w:rsidRPr="001F7CFA" w:rsidRDefault="00107A63" w:rsidP="00107A63">
          <w:pPr>
            <w:numPr>
              <w:ilvl w:val="0"/>
              <w:numId w:val="28"/>
            </w:numPr>
            <w:spacing w:after="200" w:line="276" w:lineRule="auto"/>
            <w:jc w:val="left"/>
            <w:rPr>
              <w:bCs/>
              <w:lang w:val="ka-GE"/>
            </w:rPr>
          </w:pPr>
          <w:r w:rsidRPr="001F7CFA">
            <w:rPr>
              <w:bCs/>
              <w:lang w:val="ka-GE"/>
            </w:rPr>
            <w:t>კომპანიის სერთიფიკატები (ასეთის არსებობის შემთხვევაში);</w:t>
          </w:r>
        </w:p>
        <w:p w14:paraId="302BC52F" w14:textId="77777777" w:rsidR="00107A63" w:rsidRPr="001F7CFA" w:rsidRDefault="00107A63" w:rsidP="00107A63">
          <w:pPr>
            <w:numPr>
              <w:ilvl w:val="0"/>
              <w:numId w:val="28"/>
            </w:numPr>
            <w:spacing w:after="200" w:line="276" w:lineRule="auto"/>
            <w:jc w:val="left"/>
            <w:rPr>
              <w:bCs/>
              <w:lang w:val="ka-GE"/>
            </w:rPr>
          </w:pPr>
          <w:r w:rsidRPr="001F7CFA">
            <w:rPr>
              <w:bCs/>
              <w:lang w:val="ka-GE"/>
            </w:rPr>
            <w:t>კომპანიის მოღვაწეობის შესახებ ინფორმაცია (საქმიანობის მოკლე აღწერილობა (გამოცდილება, კლიენტების სია), დაარსების თარიღი, რეკომენდაციები,</w:t>
          </w:r>
          <w:r>
            <w:rPr>
              <w:bCs/>
              <w:lang w:val="ka-GE"/>
            </w:rPr>
            <w:t xml:space="preserve"> და</w:t>
          </w:r>
          <w:r w:rsidRPr="001F7CFA">
            <w:rPr>
              <w:bCs/>
              <w:lang w:val="ka-GE"/>
            </w:rPr>
            <w:t xml:space="preserve">  ა.შ.);</w:t>
          </w:r>
        </w:p>
        <w:p w14:paraId="1A387265" w14:textId="77777777" w:rsidR="00107A63" w:rsidRPr="001F7CFA" w:rsidRDefault="00107A63" w:rsidP="00107A63">
          <w:pPr>
            <w:numPr>
              <w:ilvl w:val="0"/>
              <w:numId w:val="29"/>
            </w:numPr>
            <w:spacing w:after="200" w:line="276" w:lineRule="auto"/>
            <w:jc w:val="left"/>
            <w:rPr>
              <w:b/>
              <w:bCs/>
            </w:rPr>
          </w:pPr>
          <w:r w:rsidRPr="001F7CFA">
            <w:rPr>
              <w:bCs/>
              <w:lang w:val="ka-GE"/>
            </w:rPr>
            <w:t>მონაწილე კომპანიებმა უნდა წარმოადგინონ მწარმოებლის ავტორიზაციის წერილი (</w:t>
          </w:r>
          <w:r w:rsidRPr="001F7CFA">
            <w:rPr>
              <w:bCs/>
            </w:rPr>
            <w:t>MAF);</w:t>
          </w:r>
        </w:p>
        <w:p w14:paraId="028949C3" w14:textId="77777777" w:rsidR="00107A63" w:rsidRPr="001F7CFA" w:rsidRDefault="00107A63" w:rsidP="00107A63">
          <w:pPr>
            <w:numPr>
              <w:ilvl w:val="0"/>
              <w:numId w:val="29"/>
            </w:numPr>
            <w:spacing w:after="200" w:line="276" w:lineRule="auto"/>
            <w:jc w:val="left"/>
            <w:rPr>
              <w:b/>
              <w:bCs/>
            </w:rPr>
          </w:pPr>
          <w:r w:rsidRPr="001F7CFA">
            <w:rPr>
              <w:bCs/>
              <w:lang w:val="ka-GE"/>
            </w:rPr>
            <w:t>კომპანიასთან გაფორმდება მომსახურების ხელშეკრულება, რომელიც ითვალისწინებს მომსახურების შემდეგ პირობებს:</w:t>
          </w:r>
        </w:p>
        <w:p w14:paraId="67DF72BD" w14:textId="77777777" w:rsidR="00107A63" w:rsidRPr="001F7CFA" w:rsidRDefault="00107A63" w:rsidP="00107A63">
          <w:pPr>
            <w:rPr>
              <w:b/>
              <w:bCs/>
            </w:rPr>
          </w:pPr>
          <w:r w:rsidRPr="001F7CFA">
            <w:rPr>
              <w:b/>
              <w:bCs/>
            </w:rPr>
            <w:t>მხა</w:t>
          </w:r>
          <w:r>
            <w:rPr>
              <w:b/>
              <w:bCs/>
              <w:lang w:val="ka-GE"/>
            </w:rPr>
            <w:t>რ</w:t>
          </w:r>
          <w:r w:rsidRPr="001F7CFA">
            <w:rPr>
              <w:b/>
              <w:bCs/>
            </w:rPr>
            <w:t>დაჭერის პირობები:</w:t>
          </w:r>
        </w:p>
        <w:p w14:paraId="02419FA6" w14:textId="77777777" w:rsidR="00107A63" w:rsidRPr="001F7CFA" w:rsidRDefault="00107A63" w:rsidP="00107A63">
          <w:pPr>
            <w:rPr>
              <w:bCs/>
              <w:lang w:val="ka-GE"/>
            </w:rPr>
          </w:pPr>
          <w:r w:rsidRPr="001F7CFA">
            <w:rPr>
              <w:bCs/>
              <w:lang w:val="ka-GE"/>
            </w:rPr>
            <w:t xml:space="preserve">• განახორციელოს ობიექტზე (თბილისი) არსებული </w:t>
          </w:r>
          <w:r>
            <w:rPr>
              <w:bCs/>
              <w:lang w:val="ka-GE"/>
            </w:rPr>
            <w:t>კონდიციონერების</w:t>
          </w:r>
          <w:r w:rsidRPr="001F7CFA">
            <w:rPr>
              <w:bCs/>
              <w:lang w:val="ka-GE"/>
            </w:rPr>
            <w:t xml:space="preserve"> გეგმიური შემოწმება წელიწადში </w:t>
          </w:r>
          <w:r>
            <w:rPr>
              <w:bCs/>
              <w:lang w:val="en-GB"/>
            </w:rPr>
            <w:t>4-</w:t>
          </w:r>
          <w:r>
            <w:rPr>
              <w:bCs/>
              <w:lang w:val="ka-GE"/>
            </w:rPr>
            <w:t>ჯერ</w:t>
          </w:r>
          <w:r w:rsidRPr="001F7CFA">
            <w:rPr>
              <w:bCs/>
              <w:lang w:val="ka-GE"/>
            </w:rPr>
            <w:t>.</w:t>
          </w:r>
        </w:p>
        <w:p w14:paraId="2A964566" w14:textId="77777777" w:rsidR="00107A63" w:rsidRPr="001F7CFA" w:rsidRDefault="00107A63" w:rsidP="00107A63">
          <w:pPr>
            <w:rPr>
              <w:bCs/>
              <w:lang w:val="ka-GE"/>
            </w:rPr>
          </w:pPr>
          <w:r w:rsidRPr="001F7CFA">
            <w:rPr>
              <w:bCs/>
              <w:lang w:val="ka-GE"/>
            </w:rPr>
            <w:t>• დღე-ღამის ნებისმიერ მონაკვეთში გაუწიოს ბანკს სრულყოფილი სატელეფონო კონსულტაცია.</w:t>
          </w:r>
        </w:p>
        <w:p w14:paraId="61F12655" w14:textId="77777777" w:rsidR="00107A63" w:rsidRPr="001F7CFA" w:rsidRDefault="00107A63" w:rsidP="00107A63">
          <w:pPr>
            <w:rPr>
              <w:bCs/>
              <w:lang w:val="ka-GE"/>
            </w:rPr>
          </w:pPr>
          <w:r w:rsidRPr="001F7CFA">
            <w:rPr>
              <w:bCs/>
              <w:lang w:val="ka-GE"/>
            </w:rPr>
            <w:t>• საეჭვო ან/და ავარიული სიტუაციების არსებობისას უზრუნველყოს ობიექტზე მისი სპეციალისტების მისვლა და აღმოჩენილი პრობლემის აღმოფხვრა შემდეგი პირობების გათვალისწინებით:</w:t>
          </w:r>
        </w:p>
        <w:p w14:paraId="7B587845" w14:textId="77777777" w:rsidR="00107A63" w:rsidRPr="001F7CFA" w:rsidRDefault="00107A63" w:rsidP="00107A63">
          <w:pPr>
            <w:rPr>
              <w:bCs/>
              <w:lang w:val="ka-GE"/>
            </w:rPr>
          </w:pPr>
          <w:r w:rsidRPr="001F7CFA">
            <w:rPr>
              <w:bCs/>
              <w:lang w:val="ka-GE"/>
            </w:rPr>
            <w:t xml:space="preserve">- სპეციალისტების გამოცხადება ობიექტზე უნდა განხორციელდეს ბანკიდან შესაბამისი შეტყობინების მიღებიდან არაუგვიანეს </w:t>
          </w:r>
          <w:r>
            <w:rPr>
              <w:bCs/>
              <w:lang w:val="ka-GE"/>
            </w:rPr>
            <w:t>3</w:t>
          </w:r>
          <w:r w:rsidRPr="001F7CFA">
            <w:rPr>
              <w:bCs/>
              <w:lang w:val="ka-GE"/>
            </w:rPr>
            <w:t xml:space="preserve"> საათში</w:t>
          </w:r>
        </w:p>
        <w:p w14:paraId="0C0AF6C4" w14:textId="77777777" w:rsidR="00107A63" w:rsidRPr="001F7CFA" w:rsidRDefault="00107A63" w:rsidP="00107A63">
          <w:pPr>
            <w:rPr>
              <w:bCs/>
              <w:lang w:val="ka-GE"/>
            </w:rPr>
          </w:pPr>
          <w:r w:rsidRPr="001F7CFA">
            <w:rPr>
              <w:bCs/>
              <w:lang w:val="ka-GE"/>
            </w:rPr>
            <w:t xml:space="preserve">- სპეციალისტების მიერ პრობლემის დიაგნოსტიკა უნდა განხორციელდეს ობიექტზე მისვლიდან არაუგვიანეს </w:t>
          </w:r>
          <w:r>
            <w:rPr>
              <w:bCs/>
              <w:lang w:val="ka-GE"/>
            </w:rPr>
            <w:t>2</w:t>
          </w:r>
          <w:r w:rsidRPr="001F7CFA">
            <w:rPr>
              <w:bCs/>
              <w:lang w:val="ka-GE"/>
            </w:rPr>
            <w:t xml:space="preserve"> საათში.</w:t>
          </w:r>
        </w:p>
        <w:p w14:paraId="1BA96EE2" w14:textId="77777777" w:rsidR="00107A63" w:rsidRPr="001F7CFA" w:rsidRDefault="00107A63" w:rsidP="00107A63">
          <w:pPr>
            <w:rPr>
              <w:bCs/>
              <w:lang w:val="ka-GE"/>
            </w:rPr>
          </w:pPr>
          <w:r w:rsidRPr="001F7CFA">
            <w:rPr>
              <w:bCs/>
              <w:lang w:val="ka-GE"/>
            </w:rPr>
            <w:t>- სპეციალისტების მიერ პრობლემის აღმოფხვრა უნდა განხორციელდეს ობიექტზე მისვლიდან არაუგვიანეს 24  საათში.</w:t>
          </w:r>
        </w:p>
        <w:p w14:paraId="4E0F97FC" w14:textId="77777777" w:rsidR="00107A63" w:rsidRPr="001F7CFA" w:rsidRDefault="00107A63" w:rsidP="00107A63">
          <w:pPr>
            <w:rPr>
              <w:bCs/>
              <w:lang w:val="ka-GE"/>
            </w:rPr>
          </w:pPr>
          <w:r w:rsidRPr="001F7CFA">
            <w:rPr>
              <w:bCs/>
              <w:lang w:val="ka-GE"/>
            </w:rPr>
            <w:t>- რეაგირებისათვის განკუთვნილი დროის მაქსიმალური გადაცილება განისაზღვროს 10%-ით.</w:t>
          </w:r>
        </w:p>
        <w:p w14:paraId="47468E1D" w14:textId="77777777" w:rsidR="00107A63" w:rsidRPr="001F7CFA" w:rsidRDefault="00107A63" w:rsidP="00107A63">
          <w:pPr>
            <w:rPr>
              <w:bCs/>
              <w:lang w:val="ka-GE"/>
            </w:rPr>
          </w:pPr>
          <w:r w:rsidRPr="001F7CFA">
            <w:rPr>
              <w:bCs/>
              <w:lang w:val="ka-GE"/>
            </w:rPr>
            <w:t>• თითოეულ საეჭვო ან/და ავარიულ სიტუაციასთან დაკავშირებით მიმწოდებელი უზრუნველყოფს ბანკისათვის შესაბამისი რეპორტის მიწოდებას, სადაც დაწვრილებით იქნება აღწერილი არსებული დაზიანების აღმოფხვრის გზები, მეთოდები და რეკომენდაციები, სამომავლოდ მსგავსი ავარიული სიტუაციის თავიდან ასაცილებლად. რეპორტის მიწოდება უნდა განხორციელდეს არაუგვიანეს შემოწმების ჩატარების/პრობლემის აღმოფხვრის განხორციელებიდან 3 (სამი) საბანკო დღის განმავლობაში.</w:t>
          </w:r>
        </w:p>
        <w:p w14:paraId="78C6DA21" w14:textId="77777777" w:rsidR="00107A63" w:rsidRDefault="00107A63" w:rsidP="00107A63">
          <w:pPr>
            <w:rPr>
              <w:bCs/>
              <w:lang w:val="ka-GE"/>
            </w:rPr>
          </w:pPr>
        </w:p>
        <w:p w14:paraId="2AC18FA9" w14:textId="1E78C57D" w:rsidR="000B0AB1" w:rsidRPr="00BF2D89" w:rsidRDefault="00D731BE" w:rsidP="000B0AB1">
          <w:pPr>
            <w:rPr>
              <w:rFonts w:ascii="BOG 2017" w:hAnsi="BOG 2017" w:cstheme="minorHAnsi"/>
              <w:sz w:val="18"/>
              <w:szCs w:val="18"/>
            </w:rPr>
          </w:pPr>
        </w:p>
      </w:sdtContent>
    </w:sdt>
    <w:p w14:paraId="19BD6757" w14:textId="77777777" w:rsidR="008B1594" w:rsidRDefault="008B1594" w:rsidP="000B0AB1">
      <w:pPr>
        <w:rPr>
          <w:rFonts w:asciiTheme="minorHAnsi" w:hAnsiTheme="minorHAnsi" w:cstheme="minorHAnsi"/>
          <w:b/>
          <w:sz w:val="18"/>
          <w:szCs w:val="18"/>
          <w:lang w:val="ka-GE"/>
        </w:rPr>
      </w:pPr>
    </w:p>
    <w:p w14:paraId="14BD1DD4" w14:textId="77777777" w:rsidR="008B1594" w:rsidRDefault="008B1594" w:rsidP="008B1594">
      <w:pPr>
        <w:rPr>
          <w:rFonts w:cs="Times New Roman"/>
          <w:bCs/>
          <w:lang w:val="ka-GE"/>
        </w:rPr>
      </w:pPr>
    </w:p>
    <w:p w14:paraId="1CA31FF8" w14:textId="77777777" w:rsidR="008B1594" w:rsidRDefault="008B1594" w:rsidP="008B1594">
      <w:pPr>
        <w:rPr>
          <w:rFonts w:asciiTheme="minorHAnsi" w:hAnsiTheme="minorHAnsi"/>
          <w:sz w:val="18"/>
          <w:szCs w:val="18"/>
          <w:lang w:val="ka-GE"/>
        </w:rPr>
      </w:pPr>
    </w:p>
    <w:p w14:paraId="1210ED80" w14:textId="77777777" w:rsidR="00C7705B" w:rsidRPr="00BF2D89" w:rsidRDefault="00C7705B" w:rsidP="00C7705B">
      <w:pPr>
        <w:rPr>
          <w:rFonts w:ascii="BOG 2017" w:hAnsi="BOG 2017"/>
          <w:sz w:val="18"/>
          <w:szCs w:val="18"/>
          <w:lang w:val="ka-GE"/>
        </w:rPr>
      </w:pPr>
    </w:p>
    <w:p w14:paraId="695F9625" w14:textId="77777777" w:rsidR="00512B8A" w:rsidRDefault="00512B8A" w:rsidP="00512B8A">
      <w:pPr>
        <w:pStyle w:val="ListParagraph"/>
        <w:rPr>
          <w:bCs/>
          <w:lang w:val="ka-GE"/>
        </w:rPr>
      </w:pPr>
    </w:p>
    <w:p w14:paraId="67E780C7" w14:textId="77777777" w:rsidR="00512B8A" w:rsidRPr="00BF2D89" w:rsidRDefault="00512B8A" w:rsidP="00512B8A">
      <w:pPr>
        <w:rPr>
          <w:rFonts w:ascii="BOG 2017" w:hAnsi="BOG 2017"/>
          <w:sz w:val="18"/>
          <w:szCs w:val="18"/>
          <w:lang w:val="ka-GE"/>
        </w:rPr>
      </w:pPr>
    </w:p>
    <w:p w14:paraId="063E3FC3" w14:textId="77777777" w:rsidR="008B1594" w:rsidRDefault="008B1594" w:rsidP="00512B8A">
      <w:pPr>
        <w:rPr>
          <w:rFonts w:asciiTheme="minorHAnsi" w:hAnsiTheme="minorHAnsi"/>
          <w:sz w:val="18"/>
          <w:szCs w:val="18"/>
          <w:lang w:val="ka-GE"/>
        </w:rPr>
      </w:pPr>
    </w:p>
    <w:p w14:paraId="451C9483" w14:textId="5E52A782" w:rsidR="004945F7" w:rsidRPr="00E77B84" w:rsidRDefault="004945F7" w:rsidP="00E77B84">
      <w:pPr>
        <w:rPr>
          <w:rFonts w:ascii="BOG 2017" w:hAnsi="BOG 2017"/>
          <w:b/>
          <w:sz w:val="18"/>
          <w:szCs w:val="18"/>
        </w:rPr>
      </w:pPr>
    </w:p>
    <w:p w14:paraId="747A407A" w14:textId="77777777" w:rsidR="004945F7" w:rsidRPr="00BF2D89" w:rsidRDefault="004945F7" w:rsidP="00C7705B">
      <w:pPr>
        <w:pStyle w:val="a0"/>
        <w:numPr>
          <w:ilvl w:val="0"/>
          <w:numId w:val="0"/>
        </w:numPr>
        <w:rPr>
          <w:rFonts w:ascii="BOG 2017" w:hAnsi="BOG 2017"/>
          <w:sz w:val="18"/>
          <w:szCs w:val="18"/>
          <w:lang w:val="ka-GE"/>
        </w:rPr>
      </w:pPr>
    </w:p>
    <w:p w14:paraId="11086ED3" w14:textId="77777777" w:rsidR="004945F7" w:rsidRPr="00BF2D89" w:rsidRDefault="004945F7" w:rsidP="00C7705B">
      <w:pPr>
        <w:pStyle w:val="a0"/>
        <w:numPr>
          <w:ilvl w:val="0"/>
          <w:numId w:val="0"/>
        </w:numPr>
        <w:rPr>
          <w:rFonts w:ascii="BOG 2017" w:hAnsi="BOG 2017"/>
          <w:sz w:val="18"/>
          <w:szCs w:val="18"/>
          <w:lang w:val="ka-GE"/>
        </w:rPr>
      </w:pPr>
    </w:p>
    <w:p w14:paraId="56C92B64" w14:textId="77777777" w:rsidR="00B54332" w:rsidRPr="00BF2D89" w:rsidRDefault="00B54332">
      <w:pPr>
        <w:jc w:val="left"/>
        <w:rPr>
          <w:rFonts w:ascii="BOG 2017" w:hAnsi="BOG 2017" w:cstheme="minorHAnsi"/>
          <w:sz w:val="18"/>
          <w:szCs w:val="18"/>
          <w:lang w:val="ka-GE" w:eastAsia="ja-JP"/>
        </w:rPr>
      </w:pPr>
    </w:p>
    <w:p w14:paraId="5346E88F" w14:textId="77777777" w:rsidR="00B54332" w:rsidRPr="003C604E" w:rsidRDefault="00B54332">
      <w:pPr>
        <w:jc w:val="left"/>
        <w:rPr>
          <w:rFonts w:asciiTheme="minorHAnsi" w:hAnsiTheme="minorHAnsi" w:cstheme="minorHAnsi"/>
          <w:sz w:val="18"/>
          <w:szCs w:val="18"/>
          <w:lang w:val="ka-GE" w:eastAsia="ja-JP"/>
        </w:rPr>
      </w:pPr>
    </w:p>
    <w:sectPr w:rsidR="00B54332" w:rsidRPr="003C604E" w:rsidSect="00BE670B">
      <w:footerReference w:type="default" r:id="rId9"/>
      <w:headerReference w:type="first" r:id="rId10"/>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8F49B" w14:textId="77777777" w:rsidR="00D731BE" w:rsidRDefault="00D731BE" w:rsidP="002E7950">
      <w:r>
        <w:separator/>
      </w:r>
    </w:p>
  </w:endnote>
  <w:endnote w:type="continuationSeparator" w:id="0">
    <w:p w14:paraId="017A3568" w14:textId="77777777" w:rsidR="00D731BE" w:rsidRDefault="00D731BE"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BOG 2017">
    <w:panose1 w:val="020B0804020101010102"/>
    <w:charset w:val="00"/>
    <w:family w:val="swiss"/>
    <w:pitch w:val="variable"/>
    <w:sig w:usb0="A00000FF" w:usb1="5000FCFB" w:usb2="00000000" w:usb3="00000000" w:csb0="00000093" w:csb1="00000000"/>
  </w:font>
  <w:font w:name="AcadNusx">
    <w:altName w:val="Times New 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DA2F77">
              <w:rPr>
                <w:bCs/>
                <w:noProof/>
                <w:sz w:val="16"/>
                <w:szCs w:val="16"/>
              </w:rPr>
              <w:t>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DA2F77">
              <w:rPr>
                <w:bCs/>
                <w:noProof/>
                <w:sz w:val="16"/>
                <w:szCs w:val="16"/>
              </w:rPr>
              <w:t>2</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5F3C1" w14:textId="77777777" w:rsidR="00D731BE" w:rsidRDefault="00D731BE" w:rsidP="002E7950">
      <w:r>
        <w:separator/>
      </w:r>
    </w:p>
  </w:footnote>
  <w:footnote w:type="continuationSeparator" w:id="0">
    <w:p w14:paraId="0163941B" w14:textId="77777777" w:rsidR="00D731BE" w:rsidRDefault="00D731BE"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91E34"/>
    <w:multiLevelType w:val="hybridMultilevel"/>
    <w:tmpl w:val="D546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8E73D5"/>
    <w:multiLevelType w:val="hybridMultilevel"/>
    <w:tmpl w:val="24809B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E2670C7"/>
    <w:multiLevelType w:val="multilevel"/>
    <w:tmpl w:val="28DE5B62"/>
    <w:numStyleLink w:val="hierarchy"/>
  </w:abstractNum>
  <w:abstractNum w:abstractNumId="4">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1AA5EB1"/>
    <w:multiLevelType w:val="hybridMultilevel"/>
    <w:tmpl w:val="1B086F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44F7E"/>
    <w:multiLevelType w:val="hybridMultilevel"/>
    <w:tmpl w:val="C50C00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B2E13ED"/>
    <w:multiLevelType w:val="multilevel"/>
    <w:tmpl w:val="39EC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0">
    <w:nsid w:val="555E4797"/>
    <w:multiLevelType w:val="hybridMultilevel"/>
    <w:tmpl w:val="1D103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56BBD"/>
    <w:multiLevelType w:val="hybridMultilevel"/>
    <w:tmpl w:val="526C914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6"/>
  </w:num>
  <w:num w:numId="4">
    <w:abstractNumId w:val="17"/>
  </w:num>
  <w:num w:numId="5">
    <w:abstractNumId w:val="16"/>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9"/>
  </w:num>
  <w:num w:numId="8">
    <w:abstractNumId w:val="23"/>
  </w:num>
  <w:num w:numId="9">
    <w:abstractNumId w:val="25"/>
  </w:num>
  <w:num w:numId="10">
    <w:abstractNumId w:val="6"/>
  </w:num>
  <w:num w:numId="11">
    <w:abstractNumId w:val="24"/>
  </w:num>
  <w:num w:numId="12">
    <w:abstractNumId w:val="1"/>
  </w:num>
  <w:num w:numId="13">
    <w:abstractNumId w:val="3"/>
  </w:num>
  <w:num w:numId="14">
    <w:abstractNumId w:val="27"/>
  </w:num>
  <w:num w:numId="15">
    <w:abstractNumId w:val="10"/>
  </w:num>
  <w:num w:numId="16">
    <w:abstractNumId w:val="22"/>
  </w:num>
  <w:num w:numId="17">
    <w:abstractNumId w:val="11"/>
  </w:num>
  <w:num w:numId="18">
    <w:abstractNumId w:val="14"/>
  </w:num>
  <w:num w:numId="19">
    <w:abstractNumId w:val="18"/>
  </w:num>
  <w:num w:numId="20">
    <w:abstractNumId w:val="15"/>
  </w:num>
  <w:num w:numId="21">
    <w:abstractNumId w:val="8"/>
  </w:num>
  <w:num w:numId="22">
    <w:abstractNumId w:val="12"/>
  </w:num>
  <w:num w:numId="23">
    <w:abstractNumId w:val="21"/>
  </w:num>
  <w:num w:numId="24">
    <w:abstractNumId w:val="13"/>
  </w:num>
  <w:num w:numId="25">
    <w:abstractNumId w:val="5"/>
  </w:num>
  <w:num w:numId="26">
    <w:abstractNumId w:val="2"/>
  </w:num>
  <w:num w:numId="27">
    <w:abstractNumId w:val="2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4F8"/>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AB1"/>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A63"/>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2F17"/>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364"/>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5B6"/>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04E"/>
    <w:rsid w:val="003C6A44"/>
    <w:rsid w:val="003C6E06"/>
    <w:rsid w:val="003C6E17"/>
    <w:rsid w:val="003C7E20"/>
    <w:rsid w:val="003D0AC3"/>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6459"/>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46D9"/>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45F7"/>
    <w:rsid w:val="00495300"/>
    <w:rsid w:val="00495306"/>
    <w:rsid w:val="004953FF"/>
    <w:rsid w:val="00495BF3"/>
    <w:rsid w:val="00497118"/>
    <w:rsid w:val="00497676"/>
    <w:rsid w:val="004A0A79"/>
    <w:rsid w:val="004A1619"/>
    <w:rsid w:val="004A25B4"/>
    <w:rsid w:val="004A3C39"/>
    <w:rsid w:val="004A46EB"/>
    <w:rsid w:val="004A47ED"/>
    <w:rsid w:val="004A51DC"/>
    <w:rsid w:val="004A52D5"/>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B8A"/>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67E"/>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2C1A"/>
    <w:rsid w:val="00583E86"/>
    <w:rsid w:val="00584171"/>
    <w:rsid w:val="00584701"/>
    <w:rsid w:val="005852E3"/>
    <w:rsid w:val="005852FF"/>
    <w:rsid w:val="00586A4B"/>
    <w:rsid w:val="00586B01"/>
    <w:rsid w:val="005918EE"/>
    <w:rsid w:val="00592A8B"/>
    <w:rsid w:val="00593AFF"/>
    <w:rsid w:val="00593DA0"/>
    <w:rsid w:val="0059408C"/>
    <w:rsid w:val="00595647"/>
    <w:rsid w:val="00595821"/>
    <w:rsid w:val="00595ABC"/>
    <w:rsid w:val="0059615A"/>
    <w:rsid w:val="00596875"/>
    <w:rsid w:val="00596DBA"/>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0316"/>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52C"/>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1F0"/>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6B1"/>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1594"/>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51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0D91"/>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1F4"/>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5CF7"/>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B88"/>
    <w:rsid w:val="00AD6CB2"/>
    <w:rsid w:val="00AD70F7"/>
    <w:rsid w:val="00AD7737"/>
    <w:rsid w:val="00AE04B9"/>
    <w:rsid w:val="00AE1B2D"/>
    <w:rsid w:val="00AE1C47"/>
    <w:rsid w:val="00AE2074"/>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294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6DA"/>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2D89"/>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486"/>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1FD"/>
    <w:rsid w:val="00C65F9F"/>
    <w:rsid w:val="00C66F17"/>
    <w:rsid w:val="00C67C0A"/>
    <w:rsid w:val="00C72235"/>
    <w:rsid w:val="00C7238A"/>
    <w:rsid w:val="00C7265F"/>
    <w:rsid w:val="00C7338A"/>
    <w:rsid w:val="00C750C0"/>
    <w:rsid w:val="00C76661"/>
    <w:rsid w:val="00C76D80"/>
    <w:rsid w:val="00C7705B"/>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31BE"/>
    <w:rsid w:val="00D747FB"/>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2F77"/>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042"/>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0E91"/>
    <w:rsid w:val="00E51EE7"/>
    <w:rsid w:val="00E5228A"/>
    <w:rsid w:val="00E52993"/>
    <w:rsid w:val="00E535AC"/>
    <w:rsid w:val="00E53BA1"/>
    <w:rsid w:val="00E53F76"/>
    <w:rsid w:val="00E542B6"/>
    <w:rsid w:val="00E54A29"/>
    <w:rsid w:val="00E54EC8"/>
    <w:rsid w:val="00E55835"/>
    <w:rsid w:val="00E55C71"/>
    <w:rsid w:val="00E566A6"/>
    <w:rsid w:val="00E574A3"/>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77B84"/>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E766B"/>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53F9"/>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3FA7"/>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2368"/>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30872462-5D8E-46AE-AE2D-28E46B2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GridTable1Light-Accent6">
    <w:name w:val="Grid Table 1 Light Accent 6"/>
    <w:basedOn w:val="TableNormal"/>
    <w:uiPriority w:val="46"/>
    <w:rsid w:val="008B1594"/>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rPr>
      <w:hidden/>
    </w:trPr>
    <w:tblStylePr w:type="firstRow">
      <w:rPr>
        <w:b/>
        <w:bCs/>
      </w:rPr>
      <w:tblPr/>
      <w:trPr>
        <w:hidden/>
      </w:trPr>
      <w:tcPr>
        <w:tcBorders>
          <w:bottom w:val="single" w:sz="12" w:space="0" w:color="FABF8F" w:themeColor="accent6" w:themeTint="99"/>
        </w:tcBorders>
      </w:tcPr>
    </w:tblStylePr>
    <w:tblStylePr w:type="lastRow">
      <w:rPr>
        <w:b/>
        <w:bCs/>
      </w:rPr>
      <w:tblPr/>
      <w:trPr>
        <w:hidden/>
      </w:tr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57554400">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178355722">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72252539">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79495581">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202396079">
      <w:bodyDiv w:val="1"/>
      <w:marLeft w:val="0"/>
      <w:marRight w:val="0"/>
      <w:marTop w:val="0"/>
      <w:marBottom w:val="0"/>
      <w:divBdr>
        <w:top w:val="none" w:sz="0" w:space="0" w:color="auto"/>
        <w:left w:val="none" w:sz="0" w:space="0" w:color="auto"/>
        <w:bottom w:val="none" w:sz="0" w:space="0" w:color="auto"/>
        <w:right w:val="none" w:sz="0" w:space="0" w:color="auto"/>
      </w:divBdr>
    </w:div>
    <w:div w:id="1232546093">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50569274">
      <w:bodyDiv w:val="1"/>
      <w:marLeft w:val="0"/>
      <w:marRight w:val="0"/>
      <w:marTop w:val="0"/>
      <w:marBottom w:val="0"/>
      <w:divBdr>
        <w:top w:val="none" w:sz="0" w:space="0" w:color="auto"/>
        <w:left w:val="none" w:sz="0" w:space="0" w:color="auto"/>
        <w:bottom w:val="none" w:sz="0" w:space="0" w:color="auto"/>
        <w:right w:val="none" w:sz="0" w:space="0" w:color="auto"/>
      </w:divBdr>
    </w:div>
    <w:div w:id="1355767823">
      <w:bodyDiv w:val="1"/>
      <w:marLeft w:val="0"/>
      <w:marRight w:val="0"/>
      <w:marTop w:val="0"/>
      <w:marBottom w:val="0"/>
      <w:divBdr>
        <w:top w:val="none" w:sz="0" w:space="0" w:color="auto"/>
        <w:left w:val="none" w:sz="0" w:space="0" w:color="auto"/>
        <w:bottom w:val="none" w:sz="0" w:space="0" w:color="auto"/>
        <w:right w:val="none" w:sz="0" w:space="0" w:color="auto"/>
      </w:divBdr>
    </w:div>
    <w:div w:id="1436826828">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17447869">
      <w:bodyDiv w:val="1"/>
      <w:marLeft w:val="0"/>
      <w:marRight w:val="0"/>
      <w:marTop w:val="0"/>
      <w:marBottom w:val="0"/>
      <w:divBdr>
        <w:top w:val="none" w:sz="0" w:space="0" w:color="auto"/>
        <w:left w:val="none" w:sz="0" w:space="0" w:color="auto"/>
        <w:bottom w:val="none" w:sz="0" w:space="0" w:color="auto"/>
        <w:right w:val="none" w:sz="0" w:space="0" w:color="auto"/>
      </w:divBdr>
    </w:div>
    <w:div w:id="1656495213">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679849676">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01817940">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72972869">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09870859">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374554">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AE31BB-7A84-4B49-B281-83F8D04C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Mumladze</cp:lastModifiedBy>
  <cp:revision>14</cp:revision>
  <cp:lastPrinted>2019-10-17T14:03:00Z</cp:lastPrinted>
  <dcterms:created xsi:type="dcterms:W3CDTF">2022-09-22T11:59:00Z</dcterms:created>
  <dcterms:modified xsi:type="dcterms:W3CDTF">2023-05-09T19:23:00Z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