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9D1872">
      <w:pPr>
        <w:spacing w:before="240" w:after="0"/>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933169" w:rsidRDefault="008520A9" w:rsidP="009D1872">
      <w:pPr>
        <w:spacing w:before="240" w:after="0"/>
        <w:jc w:val="center"/>
        <w:rPr>
          <w:rFonts w:ascii="Sylfaen" w:hAnsi="Sylfaen" w:cs="Sylfaen"/>
          <w:b/>
          <w:lang w:val="ka-GE"/>
        </w:rPr>
      </w:pPr>
      <w:r w:rsidRPr="00933169">
        <w:rPr>
          <w:rFonts w:ascii="Sylfaen" w:hAnsi="Sylfaen" w:cs="Sylfaen"/>
          <w:b/>
          <w:lang w:val="ka-GE"/>
        </w:rPr>
        <w:t xml:space="preserve"> </w:t>
      </w:r>
    </w:p>
    <w:p w14:paraId="701FB870" w14:textId="013702A2" w:rsidR="009815C7" w:rsidRPr="00933169" w:rsidRDefault="009815C7" w:rsidP="009D1872">
      <w:pPr>
        <w:spacing w:before="240" w:after="0"/>
        <w:jc w:val="center"/>
        <w:rPr>
          <w:rFonts w:ascii="Sylfaen" w:hAnsi="Sylfaen" w:cs="Sylfaen"/>
          <w:b/>
          <w:lang w:val="ka-GE"/>
        </w:rPr>
      </w:pPr>
    </w:p>
    <w:p w14:paraId="2A54A710" w14:textId="031B1E4C" w:rsidR="0004104A" w:rsidRPr="00933169" w:rsidRDefault="0004104A" w:rsidP="009D1872">
      <w:pPr>
        <w:spacing w:before="240" w:after="0"/>
        <w:jc w:val="center"/>
        <w:rPr>
          <w:rFonts w:ascii="Sylfaen" w:hAnsi="Sylfaen" w:cs="Sylfaen"/>
          <w:b/>
          <w:lang w:val="ka-GE"/>
        </w:rPr>
      </w:pPr>
    </w:p>
    <w:p w14:paraId="602F8227" w14:textId="68A928BB" w:rsidR="0004104A" w:rsidRPr="00933169" w:rsidRDefault="0004104A" w:rsidP="009D1872">
      <w:pPr>
        <w:spacing w:before="240" w:after="0"/>
        <w:jc w:val="center"/>
        <w:rPr>
          <w:rFonts w:ascii="Sylfaen" w:hAnsi="Sylfaen" w:cs="Sylfaen"/>
          <w:b/>
          <w:lang w:val="ka-GE"/>
        </w:rPr>
      </w:pPr>
    </w:p>
    <w:p w14:paraId="6A3A3EF0" w14:textId="006277AD" w:rsidR="0004104A" w:rsidRPr="00933169" w:rsidRDefault="0004104A" w:rsidP="009D1872">
      <w:pPr>
        <w:spacing w:before="240" w:after="0"/>
        <w:jc w:val="center"/>
        <w:rPr>
          <w:rFonts w:ascii="Sylfaen" w:hAnsi="Sylfaen" w:cs="Sylfaen"/>
          <w:b/>
          <w:lang w:val="ka-GE"/>
        </w:rPr>
      </w:pPr>
    </w:p>
    <w:p w14:paraId="5C95CC09" w14:textId="20ADACA0" w:rsidR="0004104A" w:rsidRPr="00933169" w:rsidRDefault="0004104A" w:rsidP="009D1872">
      <w:pPr>
        <w:spacing w:before="240" w:after="0"/>
        <w:jc w:val="center"/>
        <w:rPr>
          <w:rFonts w:ascii="Sylfaen" w:hAnsi="Sylfaen" w:cs="Sylfaen"/>
          <w:b/>
          <w:lang w:val="ka-GE"/>
        </w:rPr>
      </w:pPr>
    </w:p>
    <w:p w14:paraId="41C4464C" w14:textId="24B4126C" w:rsidR="0004104A" w:rsidRPr="00933169" w:rsidRDefault="0004104A" w:rsidP="009D1872">
      <w:pPr>
        <w:spacing w:before="240" w:after="0"/>
        <w:jc w:val="center"/>
        <w:rPr>
          <w:rFonts w:ascii="Sylfaen" w:hAnsi="Sylfaen" w:cs="Sylfaen"/>
          <w:b/>
          <w:lang w:val="ka-GE"/>
        </w:rPr>
      </w:pPr>
    </w:p>
    <w:p w14:paraId="2B3384B0" w14:textId="279B4D73" w:rsidR="0004104A" w:rsidRPr="00933169" w:rsidRDefault="0004104A" w:rsidP="009D1872">
      <w:pPr>
        <w:spacing w:before="240" w:after="0"/>
        <w:jc w:val="center"/>
        <w:rPr>
          <w:rFonts w:ascii="Sylfaen" w:hAnsi="Sylfaen" w:cs="Sylfaen"/>
          <w:b/>
          <w:lang w:val="ka-GE"/>
        </w:rPr>
      </w:pPr>
    </w:p>
    <w:p w14:paraId="0BF707A7" w14:textId="3892381E" w:rsidR="0004104A" w:rsidRPr="00933169" w:rsidRDefault="0004104A" w:rsidP="009D1872">
      <w:pPr>
        <w:spacing w:before="240" w:after="0"/>
        <w:jc w:val="center"/>
        <w:rPr>
          <w:rFonts w:ascii="Sylfaen" w:hAnsi="Sylfaen" w:cs="Sylfaen"/>
          <w:b/>
          <w:lang w:val="ka-GE"/>
        </w:rPr>
      </w:pPr>
    </w:p>
    <w:p w14:paraId="5C7FA80B" w14:textId="77777777" w:rsidR="0004104A" w:rsidRPr="00933169" w:rsidRDefault="0004104A" w:rsidP="009D1872">
      <w:pPr>
        <w:spacing w:before="240" w:after="0"/>
        <w:jc w:val="center"/>
        <w:rPr>
          <w:rFonts w:ascii="Sylfaen" w:hAnsi="Sylfaen" w:cs="Sylfaen"/>
          <w:b/>
          <w:lang w:val="ka-GE"/>
        </w:rPr>
      </w:pPr>
    </w:p>
    <w:p w14:paraId="2099BC79" w14:textId="4E4305C1" w:rsidR="00965625" w:rsidRPr="00965625" w:rsidRDefault="00965625" w:rsidP="00965625">
      <w:pPr>
        <w:spacing w:before="240" w:after="0"/>
        <w:jc w:val="center"/>
        <w:rPr>
          <w:rFonts w:ascii="Sylfaen" w:hAnsi="Sylfaen" w:cs="Sylfaen"/>
          <w:b/>
          <w:lang w:val="ka-GE"/>
        </w:rPr>
      </w:pPr>
      <w:r w:rsidRPr="00965625">
        <w:rPr>
          <w:rFonts w:ascii="Sylfaen" w:hAnsi="Sylfaen" w:cs="Sylfaen"/>
          <w:b/>
          <w:lang w:val="ka-GE"/>
        </w:rPr>
        <w:t>მოკლე ტექსტ</w:t>
      </w:r>
      <w:r w:rsidR="00D93818">
        <w:rPr>
          <w:rFonts w:ascii="Sylfaen" w:hAnsi="Sylfaen" w:cs="Sylfaen"/>
          <w:b/>
          <w:lang w:val="ka-GE"/>
        </w:rPr>
        <w:t xml:space="preserve">ური შეტყობინებების გაგზავნა GWP-ს და RWC- </w:t>
      </w:r>
      <w:r w:rsidRPr="00965625">
        <w:rPr>
          <w:rFonts w:ascii="Sylfaen" w:hAnsi="Sylfaen" w:cs="Sylfaen"/>
          <w:b/>
          <w:lang w:val="ka-GE"/>
        </w:rPr>
        <w:t>ს აბონენტებთან SMPP პროტოკოლის მეშვეობით მომსახურების შესყიდვის სატენდერო დოკუმენტაცია</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933169" w:rsidRDefault="00FD0DCD" w:rsidP="009D1872">
      <w:pPr>
        <w:spacing w:before="240" w:after="0"/>
        <w:jc w:val="center"/>
        <w:rPr>
          <w:rFonts w:ascii="AcadNusx" w:hAnsi="AcadNusx"/>
          <w:b/>
          <w:lang w:val="ka-GE"/>
        </w:rPr>
      </w:pPr>
    </w:p>
    <w:p w14:paraId="48A0C09F" w14:textId="77777777" w:rsidR="00FD0DCD" w:rsidRPr="00933169" w:rsidRDefault="00FD0DCD" w:rsidP="009D1872">
      <w:pPr>
        <w:spacing w:before="240" w:after="0"/>
        <w:jc w:val="center"/>
        <w:rPr>
          <w:rFonts w:ascii="AcadNusx" w:hAnsi="AcadNusx"/>
          <w:b/>
          <w:lang w:val="ka-GE"/>
        </w:rPr>
      </w:pPr>
    </w:p>
    <w:p w14:paraId="5A0A6715" w14:textId="77777777" w:rsidR="00FD0DCD" w:rsidRPr="00933169" w:rsidRDefault="00FD0DCD" w:rsidP="009D1872">
      <w:pPr>
        <w:spacing w:before="240" w:after="0"/>
        <w:jc w:val="center"/>
        <w:rPr>
          <w:rFonts w:ascii="AcadNusx" w:hAnsi="AcadNusx"/>
          <w:b/>
          <w:lang w:val="ka-GE"/>
        </w:rPr>
      </w:pPr>
    </w:p>
    <w:p w14:paraId="5C217841" w14:textId="77777777" w:rsidR="00FD0DCD" w:rsidRPr="00933169" w:rsidRDefault="00FD0DCD" w:rsidP="009D1872">
      <w:pPr>
        <w:spacing w:before="240" w:after="0"/>
        <w:jc w:val="center"/>
        <w:rPr>
          <w:rFonts w:ascii="AcadNusx" w:hAnsi="AcadNusx"/>
          <w:b/>
          <w:lang w:val="ka-GE"/>
        </w:rPr>
      </w:pPr>
    </w:p>
    <w:p w14:paraId="0B0F3779" w14:textId="77777777" w:rsidR="00FD0DCD" w:rsidRPr="00933169" w:rsidRDefault="00FD0DCD" w:rsidP="009D1872">
      <w:pPr>
        <w:spacing w:before="240" w:after="0"/>
        <w:jc w:val="center"/>
        <w:rPr>
          <w:rFonts w:ascii="AcadNusx" w:hAnsi="AcadNusx"/>
          <w:b/>
          <w:lang w:val="ka-GE"/>
        </w:rPr>
      </w:pPr>
    </w:p>
    <w:p w14:paraId="19994244" w14:textId="3A398AFC" w:rsidR="0004104A" w:rsidRPr="00933169" w:rsidRDefault="0004104A" w:rsidP="009D1872">
      <w:pPr>
        <w:spacing w:before="240" w:after="0" w:line="240" w:lineRule="auto"/>
        <w:jc w:val="center"/>
        <w:rPr>
          <w:rFonts w:ascii="AcadNusx" w:hAnsi="AcadNusx"/>
          <w:b/>
          <w:lang w:val="ka-GE"/>
        </w:rPr>
      </w:pPr>
    </w:p>
    <w:p w14:paraId="4C95BB31" w14:textId="504921C4" w:rsidR="0004104A" w:rsidRPr="00933169" w:rsidRDefault="0004104A" w:rsidP="009D1872">
      <w:pPr>
        <w:spacing w:before="240" w:after="0" w:line="240" w:lineRule="auto"/>
        <w:jc w:val="center"/>
        <w:rPr>
          <w:rFonts w:ascii="AcadNusx" w:hAnsi="AcadNusx"/>
          <w:b/>
          <w:lang w:val="ka-GE"/>
        </w:rPr>
      </w:pPr>
    </w:p>
    <w:p w14:paraId="20A1324C" w14:textId="183DBBDE" w:rsidR="0004104A" w:rsidRPr="00933169" w:rsidRDefault="0004104A" w:rsidP="009D1872">
      <w:pPr>
        <w:spacing w:before="240" w:after="0" w:line="240" w:lineRule="auto"/>
        <w:jc w:val="center"/>
        <w:rPr>
          <w:rFonts w:ascii="AcadNusx" w:hAnsi="AcadNusx"/>
          <w:b/>
          <w:lang w:val="ka-GE"/>
        </w:rPr>
      </w:pPr>
    </w:p>
    <w:p w14:paraId="135CF89F" w14:textId="77777777" w:rsidR="00212F2B" w:rsidRPr="00933169" w:rsidRDefault="00212F2B" w:rsidP="009D1872">
      <w:pPr>
        <w:spacing w:before="240" w:after="0" w:line="240" w:lineRule="auto"/>
        <w:jc w:val="center"/>
        <w:rPr>
          <w:rFonts w:ascii="AcadNusx" w:hAnsi="AcadNusx"/>
          <w:b/>
          <w:lang w:val="ka-GE"/>
        </w:rPr>
      </w:pPr>
    </w:p>
    <w:p w14:paraId="2C79C735" w14:textId="24498AA0" w:rsidR="00577214" w:rsidRDefault="00577214" w:rsidP="009D1872">
      <w:pPr>
        <w:spacing w:before="240" w:after="0" w:line="240" w:lineRule="auto"/>
        <w:rPr>
          <w:rFonts w:ascii="Sylfaen" w:hAnsi="Sylfaen"/>
          <w:b/>
          <w:lang w:val="ka-GE"/>
        </w:rPr>
      </w:pPr>
    </w:p>
    <w:p w14:paraId="580D4E90" w14:textId="12D3A4BC" w:rsidR="00665C42" w:rsidRDefault="00665C42" w:rsidP="009D1872">
      <w:pPr>
        <w:spacing w:before="240" w:after="0" w:line="240" w:lineRule="auto"/>
        <w:jc w:val="center"/>
        <w:rPr>
          <w:rFonts w:ascii="Sylfaen" w:hAnsi="Sylfaen"/>
          <w:b/>
          <w:lang w:val="ka-GE"/>
        </w:rPr>
      </w:pPr>
    </w:p>
    <w:p w14:paraId="5C637F89" w14:textId="77777777" w:rsidR="00212F2B" w:rsidRPr="00933169" w:rsidRDefault="00212F2B" w:rsidP="009D1872">
      <w:pPr>
        <w:spacing w:before="240" w:after="0" w:line="240" w:lineRule="auto"/>
        <w:jc w:val="center"/>
        <w:rPr>
          <w:rFonts w:ascii="AcadNusx" w:hAnsi="AcadNusx"/>
          <w:b/>
          <w:lang w:val="ka-GE"/>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021B62F3" w14:textId="0D3D41AD" w:rsidR="00965625" w:rsidRPr="00965625" w:rsidRDefault="00D30223" w:rsidP="00965625">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0767A6">
        <w:rPr>
          <w:rFonts w:ascii="Arial" w:hAnsi="Arial" w:cs="Arial"/>
          <w:lang w:val="ka-GE"/>
        </w:rPr>
        <w:t>(GWP)</w:t>
      </w:r>
      <w:r w:rsidR="00537B01" w:rsidRPr="000767A6">
        <w:rPr>
          <w:rFonts w:ascii="Arial" w:hAnsi="Arial" w:cs="Arial"/>
          <w:lang w:val="ka-GE"/>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65625" w:rsidRPr="00965625">
        <w:rPr>
          <w:rFonts w:ascii="Sylfaen" w:hAnsi="Sylfaen" w:cs="Sylfaen"/>
          <w:lang w:val="ka-GE"/>
        </w:rPr>
        <w:t>მოკლე ტექსტური შეტყობინებების გაგზავნა GWP</w:t>
      </w:r>
      <w:r w:rsidR="00D93818">
        <w:rPr>
          <w:rFonts w:ascii="Sylfaen" w:hAnsi="Sylfaen" w:cs="Sylfaen"/>
          <w:lang w:val="ka-GE"/>
        </w:rPr>
        <w:t>-ს და RWC-</w:t>
      </w:r>
      <w:r w:rsidR="00965625" w:rsidRPr="00965625">
        <w:rPr>
          <w:rFonts w:ascii="Sylfaen" w:hAnsi="Sylfaen" w:cs="Sylfaen"/>
          <w:lang w:val="ka-GE"/>
        </w:rPr>
        <w:t>ს აბონენტებთან SMPP პროტოკოლის მეშვეობით მომსახურების შესყიდვის</w:t>
      </w:r>
      <w:r w:rsidR="00965625">
        <w:rPr>
          <w:rFonts w:ascii="Sylfaen" w:hAnsi="Sylfaen" w:cs="Sylfaen"/>
          <w:lang w:val="ka-GE"/>
        </w:rPr>
        <w:t xml:space="preserve"> მიზნით. </w:t>
      </w:r>
    </w:p>
    <w:p w14:paraId="37C58C6E" w14:textId="77777777" w:rsidR="00965625" w:rsidRDefault="00965625" w:rsidP="00747C17">
      <w:pPr>
        <w:spacing w:after="0" w:line="240" w:lineRule="auto"/>
        <w:jc w:val="both"/>
        <w:rPr>
          <w:rFonts w:ascii="Sylfaen" w:hAnsi="Sylfaen" w:cs="Sylfaen"/>
          <w:lang w:val="ka-GE"/>
        </w:rPr>
      </w:pPr>
    </w:p>
    <w:p w14:paraId="1CCC16A5" w14:textId="77777777" w:rsidR="00537B01" w:rsidRPr="000767A6" w:rsidRDefault="00537B01" w:rsidP="00747C17">
      <w:pPr>
        <w:spacing w:after="0" w:line="240" w:lineRule="auto"/>
        <w:jc w:val="both"/>
        <w:rPr>
          <w:rFonts w:ascii="Sylfaen" w:hAnsi="Sylfaen" w:cs="Sylfaen"/>
          <w:b/>
          <w:bCs/>
          <w:lang w:val="ka-GE"/>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38A7775B" w:rsidR="00F16E97" w:rsidRPr="00252DA1" w:rsidRDefault="00965625" w:rsidP="00747C17">
      <w:pPr>
        <w:spacing w:after="0" w:line="240" w:lineRule="auto"/>
        <w:jc w:val="both"/>
        <w:rPr>
          <w:rFonts w:ascii="Sylfaen" w:hAnsi="Sylfaen" w:cs="Sylfaen"/>
          <w:lang w:val="ka-GE"/>
        </w:rPr>
      </w:pPr>
      <w:r>
        <w:rPr>
          <w:rFonts w:ascii="Sylfaen" w:hAnsi="Sylfaen" w:cs="Sylfaen"/>
          <w:lang w:val="ka-GE"/>
        </w:rPr>
        <w:t>მომსახურების გაწევა</w:t>
      </w:r>
      <w:r w:rsidR="003C5165">
        <w:rPr>
          <w:rFonts w:ascii="Sylfaen" w:hAnsi="Sylfaen" w:cs="Sylfaen"/>
          <w:lang w:val="ka-GE"/>
        </w:rPr>
        <w:t xml:space="preserve"> უნდა განხორციელდეს წინამდებარე სატენდერო განაცხადის დანართი N</w:t>
      </w:r>
      <w:r w:rsidR="003C5165" w:rsidRPr="00252DA1">
        <w:rPr>
          <w:rFonts w:ascii="Sylfaen" w:hAnsi="Sylfaen" w:cs="Sylfaen"/>
          <w:lang w:val="ka-GE"/>
        </w:rPr>
        <w:t>1</w:t>
      </w:r>
      <w:r w:rsidR="003C5165">
        <w:rPr>
          <w:rFonts w:ascii="Sylfaen" w:hAnsi="Sylfaen" w:cs="Sylfaen"/>
          <w:lang w:val="ka-GE"/>
        </w:rPr>
        <w:t xml:space="preserve">-ში მოცემული </w:t>
      </w:r>
      <w:r w:rsidR="00537B01">
        <w:rPr>
          <w:rFonts w:ascii="Sylfaen" w:hAnsi="Sylfaen" w:cs="Sylfaen"/>
          <w:lang w:val="ka-GE"/>
        </w:rPr>
        <w:t>მოთხოვნების შესაბამისად</w:t>
      </w:r>
      <w:r w:rsidR="003C5165">
        <w:rPr>
          <w:rFonts w:ascii="Sylfaen" w:hAnsi="Sylfaen" w:cs="Sylfaen"/>
          <w:lang w:val="ka-GE"/>
        </w:rPr>
        <w:t xml:space="preserve">.  </w:t>
      </w:r>
    </w:p>
    <w:p w14:paraId="71A32439" w14:textId="46F356DF" w:rsidR="00F3662E" w:rsidRPr="00050855" w:rsidRDefault="00F3662E" w:rsidP="00747C17">
      <w:pPr>
        <w:spacing w:after="0" w:line="240" w:lineRule="auto"/>
        <w:jc w:val="both"/>
        <w:rPr>
          <w:rFonts w:ascii="Sylfaen" w:hAnsi="Sylfaen" w:cs="Sylfaen"/>
          <w:b/>
          <w:bCs/>
          <w:lang w:val="ka-GE"/>
        </w:rPr>
      </w:pPr>
    </w:p>
    <w:p w14:paraId="1B89961A" w14:textId="6CE30343" w:rsidR="00F90B03" w:rsidRDefault="008C0A74" w:rsidP="00747C17">
      <w:pPr>
        <w:spacing w:line="240" w:lineRule="auto"/>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1708C3B8" w14:textId="3F75CA59" w:rsidR="007812FF" w:rsidRDefault="007812FF" w:rsidP="007812FF">
      <w:pPr>
        <w:spacing w:line="240" w:lineRule="auto"/>
        <w:jc w:val="both"/>
        <w:rPr>
          <w:rFonts w:ascii="Sylfaen" w:hAnsi="Sylfaen"/>
          <w:lang w:val="ka-GE"/>
        </w:rPr>
      </w:pPr>
      <w:r>
        <w:rPr>
          <w:rFonts w:ascii="Sylfaen" w:hAnsi="Sylfaen"/>
          <w:lang w:val="ka-GE"/>
        </w:rPr>
        <w:t xml:space="preserve">-ტენდერში მონაწილე კომპანიას უნდა გააჩნდეს შესაბამისი მატერიალურ-ტექნიკური ბაზა, რომელის საჭიროა მოთხოვნილი </w:t>
      </w:r>
      <w:r w:rsidR="00965625">
        <w:rPr>
          <w:rFonts w:ascii="Sylfaen" w:hAnsi="Sylfaen"/>
          <w:lang w:val="ka-GE"/>
        </w:rPr>
        <w:t>მომსახურების განხორციელებისათვის</w:t>
      </w:r>
      <w:r>
        <w:rPr>
          <w:rFonts w:ascii="Sylfaen" w:hAnsi="Sylfaen"/>
          <w:lang w:val="ka-GE"/>
        </w:rPr>
        <w:t>;</w:t>
      </w:r>
    </w:p>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5853993E"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00351D30">
        <w:rPr>
          <w:rFonts w:ascii="Sylfaen" w:hAnsi="Sylfaen"/>
          <w:color w:val="222222"/>
          <w:shd w:val="clear" w:color="auto" w:fill="FFFFFF"/>
          <w:lang w:val="ka-GE"/>
        </w:rPr>
        <w:t xml:space="preserve"> თავისუფალი ფორმატით (ტექნიკურ დავალებაში მოცემული შენიშვნის გათვალისწინებით)</w:t>
      </w:r>
      <w:r w:rsidRPr="007B0071">
        <w:rPr>
          <w:rFonts w:ascii="Sylfaen" w:hAnsi="Sylfaen" w:cs="Sylfaen"/>
          <w:color w:val="222222"/>
          <w:shd w:val="clear" w:color="auto" w:fill="FFFFFF"/>
          <w:lang w:val="ka-GE"/>
        </w:rPr>
        <w:t>.</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3ABE0C10" w14:textId="0A65A989" w:rsidR="00896FDC" w:rsidRDefault="00B95D1D" w:rsidP="00B95D1D">
      <w:pPr>
        <w:spacing w:after="0" w:line="240" w:lineRule="auto"/>
        <w:jc w:val="both"/>
        <w:rPr>
          <w:rFonts w:ascii="Sylfaen" w:hAnsi="Sylfaen" w:cs="Sylfaen"/>
          <w:lang w:val="ka-GE"/>
        </w:rPr>
      </w:pPr>
      <w:r>
        <w:rPr>
          <w:rFonts w:ascii="Sylfaen" w:hAnsi="Sylfaen" w:cs="Sylfaen"/>
          <w:lang w:val="ka-GE"/>
        </w:rPr>
        <w:t xml:space="preserve">ხელშეკრულების ვადა განისაზღვრება 1 წლით. </w:t>
      </w: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17E4ED3B" w:rsidR="00EA00F2" w:rsidRDefault="00631FA7" w:rsidP="00212F2B">
      <w:pPr>
        <w:spacing w:after="0" w:line="240" w:lineRule="auto"/>
        <w:jc w:val="both"/>
        <w:rPr>
          <w:rFonts w:ascii="Sylfaen" w:hAnsi="Sylfaen"/>
          <w:lang w:val="ka-GE"/>
        </w:rPr>
      </w:pPr>
      <w:r>
        <w:rPr>
          <w:rFonts w:ascii="Sylfaen" w:hAnsi="Sylfaen"/>
          <w:lang w:val="ka-GE"/>
        </w:rPr>
        <w:t xml:space="preserve">სამუშაოების შესრულება უნდა განხორციელდეს </w:t>
      </w:r>
      <w:r w:rsidR="00204B66">
        <w:rPr>
          <w:rFonts w:ascii="Sylfaen" w:hAnsi="Sylfaen"/>
          <w:lang w:val="ka-GE"/>
        </w:rPr>
        <w:t>წინამდებარე სა</w:t>
      </w:r>
      <w:r w:rsidR="00B95D1D">
        <w:rPr>
          <w:rFonts w:ascii="Sylfaen" w:hAnsi="Sylfaen"/>
          <w:lang w:val="ka-GE"/>
        </w:rPr>
        <w:t>ტენდერო განაცხადის დანართ N 1 (</w:t>
      </w:r>
      <w:r w:rsidR="00204B66">
        <w:rPr>
          <w:rFonts w:ascii="Sylfaen" w:hAnsi="Sylfaen"/>
          <w:lang w:val="ka-GE"/>
        </w:rPr>
        <w:t xml:space="preserve">ტექნიკური დავალება) მოთხოვნების შესაბამისად. </w:t>
      </w:r>
      <w:r>
        <w:rPr>
          <w:rFonts w:ascii="Sylfaen" w:hAnsi="Sylfaen"/>
          <w:lang w:val="ka-GE"/>
        </w:rPr>
        <w:t xml:space="preserve"> </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6C1A64DB"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204B6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1148FE" w:rsidR="00B806AE" w:rsidRDefault="00387591" w:rsidP="00747C17">
      <w:pPr>
        <w:spacing w:after="0" w:line="240" w:lineRule="auto"/>
        <w:jc w:val="both"/>
        <w:rPr>
          <w:rFonts w:ascii="Sylfaen" w:hAnsi="Sylfaen"/>
          <w:lang w:val="ka-GE"/>
        </w:rPr>
      </w:pPr>
      <w:r w:rsidRPr="007B0071">
        <w:rPr>
          <w:rFonts w:ascii="Sylfaen" w:hAnsi="Sylfaen"/>
          <w:lang w:val="ka-GE"/>
        </w:rPr>
        <w:t>1.</w:t>
      </w:r>
      <w:r w:rsidR="00351D30">
        <w:rPr>
          <w:rFonts w:ascii="Sylfaen" w:hAnsi="Sylfaen"/>
          <w:lang w:val="ka-GE"/>
        </w:rPr>
        <w:t xml:space="preserve"> </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0B905C96" w:rsidR="00AE7884" w:rsidRDefault="00B806AE" w:rsidP="00747C17">
      <w:pPr>
        <w:spacing w:after="0" w:line="240" w:lineRule="auto"/>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w:t>
      </w:r>
    </w:p>
    <w:p w14:paraId="53B5DA67" w14:textId="0177DF98" w:rsidR="001767C8" w:rsidRDefault="001767C8" w:rsidP="00747C17">
      <w:pPr>
        <w:spacing w:after="0" w:line="240" w:lineRule="auto"/>
        <w:jc w:val="both"/>
        <w:rPr>
          <w:rFonts w:ascii="Sylfaen" w:hAnsi="Sylfaen"/>
          <w:lang w:val="ka-GE"/>
        </w:rPr>
      </w:pPr>
      <w:r>
        <w:rPr>
          <w:rFonts w:ascii="Sylfaen" w:hAnsi="Sylfaen"/>
          <w:lang w:val="ka-GE"/>
        </w:rPr>
        <w:t>3.</w:t>
      </w:r>
      <w:r w:rsidR="004F05B1">
        <w:rPr>
          <w:rFonts w:ascii="Sylfaen" w:hAnsi="Sylfaen"/>
          <w:lang w:val="ka-GE"/>
        </w:rPr>
        <w:t xml:space="preserve"> </w:t>
      </w:r>
      <w:r w:rsidR="00351D30">
        <w:rPr>
          <w:rFonts w:ascii="Sylfaen" w:hAnsi="Sylfaen"/>
          <w:lang w:val="ka-GE"/>
        </w:rPr>
        <w:t>1.2 პუნქტის ქვეშ-</w:t>
      </w:r>
      <w:r w:rsidR="00204B66">
        <w:rPr>
          <w:rFonts w:ascii="Sylfaen" w:hAnsi="Sylfaen"/>
          <w:lang w:val="ka-GE"/>
        </w:rPr>
        <w:t>განსაკუთრებული მოთხოვნების დაკმაყოფილების დამადასტურებელი დოკუმენტაცია</w:t>
      </w:r>
      <w:r w:rsidR="00351D30">
        <w:rPr>
          <w:rFonts w:ascii="Sylfaen" w:hAnsi="Sylfaen"/>
          <w:lang w:val="ka-GE"/>
        </w:rPr>
        <w:t>.</w:t>
      </w:r>
    </w:p>
    <w:p w14:paraId="350A4098" w14:textId="274A65A7" w:rsidR="00E73803" w:rsidRPr="007B0071" w:rsidRDefault="000E6155"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699EF43E" w:rsidR="00CE69DB" w:rsidRDefault="00346C0A" w:rsidP="00747C17">
      <w:pPr>
        <w:spacing w:after="0" w:line="240" w:lineRule="auto"/>
        <w:jc w:val="both"/>
        <w:rPr>
          <w:rFonts w:ascii="Sylfaen" w:hAnsi="Sylfaen"/>
          <w:lang w:val="ka-GE"/>
        </w:rPr>
      </w:pPr>
      <w:r>
        <w:rPr>
          <w:rFonts w:ascii="Sylfaen" w:hAnsi="Sylfaen"/>
          <w:lang w:val="ka-GE"/>
        </w:rPr>
        <w:lastRenderedPageBreak/>
        <w:t>5</w:t>
      </w:r>
      <w:r w:rsidR="009F003A" w:rsidRPr="007B0071">
        <w:rPr>
          <w:rFonts w:ascii="Sylfaen" w:hAnsi="Sylfaen"/>
          <w:lang w:val="ka-GE"/>
        </w:rPr>
        <w:t>.</w:t>
      </w:r>
      <w:r w:rsidR="004717AB" w:rsidRPr="007B0071">
        <w:rPr>
          <w:rFonts w:ascii="Sylfaen" w:hAnsi="Sylfaen"/>
          <w:lang w:val="ka-GE"/>
        </w:rPr>
        <w:t xml:space="preserve"> </w:t>
      </w:r>
      <w:r w:rsidR="00204B66">
        <w:rPr>
          <w:rFonts w:ascii="Sylfaen" w:hAnsi="Sylfaen"/>
          <w:lang w:val="ka-GE"/>
        </w:rPr>
        <w:t xml:space="preserve">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5A5DFBB" w14:textId="4A82A9A9" w:rsidR="00212F2B" w:rsidRDefault="00212F2B" w:rsidP="00204B66">
      <w:pPr>
        <w:spacing w:after="0" w:line="240" w:lineRule="auto"/>
        <w:jc w:val="both"/>
        <w:rPr>
          <w:rFonts w:ascii="Sylfaen" w:hAnsi="Sylfaen"/>
          <w:lang w:val="ka-GE"/>
        </w:rPr>
      </w:pP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5F5D8EB8"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w:t>
      </w:r>
      <w:r w:rsidR="003121C8" w:rsidRPr="00351D30">
        <w:rPr>
          <w:rFonts w:ascii="Sylfaen" w:hAnsi="Sylfaen" w:cs="Sylfaen"/>
          <w:lang w:val="ka-GE"/>
        </w:rPr>
        <w:t xml:space="preserve">გამარჯვებულ კომპანიასა და </w:t>
      </w:r>
      <w:r w:rsidR="00204B66" w:rsidRPr="00351D30">
        <w:rPr>
          <w:rFonts w:ascii="Sylfaen" w:hAnsi="Sylfaen" w:cs="Sylfaen"/>
          <w:lang w:val="ka-GE"/>
        </w:rPr>
        <w:t xml:space="preserve"> </w:t>
      </w:r>
      <w:r w:rsidR="00204B66" w:rsidRPr="00351D30">
        <w:rPr>
          <w:rFonts w:ascii="Sylfaen" w:hAnsi="Sylfaen" w:cs="Sylfaen"/>
        </w:rPr>
        <w:t>GGU-</w:t>
      </w:r>
      <w:r w:rsidR="00204B66" w:rsidRPr="00351D30">
        <w:rPr>
          <w:rFonts w:ascii="Sylfaen" w:hAnsi="Sylfaen" w:cs="Sylfaen"/>
          <w:lang w:val="ka-GE"/>
        </w:rPr>
        <w:t>ს შესაბამის კომპანიებს</w:t>
      </w:r>
      <w:r w:rsidR="00351D30" w:rsidRPr="00351D30">
        <w:rPr>
          <w:rFonts w:ascii="Sylfaen" w:hAnsi="Sylfaen" w:cs="Sylfaen"/>
          <w:lang w:val="ka-GE"/>
        </w:rPr>
        <w:t xml:space="preserve"> (</w:t>
      </w:r>
      <w:r w:rsidR="00252DA1" w:rsidRPr="00351D30">
        <w:rPr>
          <w:rFonts w:ascii="Sylfaen" w:hAnsi="Sylfaen" w:cs="Sylfaen"/>
        </w:rPr>
        <w:t xml:space="preserve">GWP, </w:t>
      </w:r>
      <w:r w:rsidR="00B95D1D" w:rsidRPr="00351D30">
        <w:rPr>
          <w:rFonts w:ascii="Sylfaen" w:hAnsi="Sylfaen" w:cs="Sylfaen"/>
          <w:lang w:val="ka-GE"/>
        </w:rPr>
        <w:t>რუსთავის წყალი)</w:t>
      </w:r>
      <w:r w:rsidR="00204B66" w:rsidRPr="00351D30">
        <w:rPr>
          <w:rFonts w:ascii="Sylfaen" w:hAnsi="Sylfaen" w:cs="Sylfaen"/>
          <w:lang w:val="ka-GE"/>
        </w:rPr>
        <w:t xml:space="preserve"> შორის </w:t>
      </w:r>
      <w:r w:rsidRPr="00351D30">
        <w:rPr>
          <w:rFonts w:ascii="Sylfaen" w:hAnsi="Sylfaen" w:cs="Sylfaen"/>
          <w:lang w:val="ka-GE"/>
        </w:rPr>
        <w:t xml:space="preserve"> გაფორმდება </w:t>
      </w:r>
      <w:r w:rsidR="003121C8" w:rsidRPr="00351D30">
        <w:rPr>
          <w:rFonts w:ascii="Sylfaen" w:hAnsi="Sylfaen" w:cs="Sylfaen"/>
          <w:lang w:val="ka-GE"/>
        </w:rPr>
        <w:t xml:space="preserve">მომსახურების შესყიდვის ხელშეკრულებებები ინდივიდუალურად, </w:t>
      </w:r>
      <w:r w:rsidRPr="00351D30">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r w:rsidR="00050855">
        <w:rPr>
          <w:rFonts w:ascii="Sylfaen" w:hAnsi="Sylfaen" w:cs="Sylfaen"/>
          <w:lang w:val="ka-GE"/>
        </w:rPr>
        <w:t xml:space="preserve"> წინამდებარე სატენდერო განაცხადს თან ერთვის ხელშეკრულების სამუშაო ვერსია, რომელიც დაზუსტდება გამარჯვებულ კომპანიასთან მოლაპარაკებების ეტაპზე. </w:t>
      </w:r>
      <w:bookmarkStart w:id="0" w:name="_GoBack"/>
      <w:bookmarkEnd w:id="0"/>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5F6CB271"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204B66">
        <w:rPr>
          <w:rFonts w:ascii="Sylfaen" w:hAnsi="Sylfaen"/>
          <w:lang w:val="ka-GE"/>
        </w:rPr>
        <w:t>45</w:t>
      </w:r>
      <w:r w:rsidRPr="009D1872">
        <w:rPr>
          <w:rFonts w:ascii="Sylfaen" w:hAnsi="Sylfaen"/>
          <w:lang w:val="ka-GE"/>
        </w:rPr>
        <w:t xml:space="preserve"> </w:t>
      </w:r>
      <w:r w:rsidRPr="009D1872">
        <w:rPr>
          <w:rFonts w:ascii="AcadNusx" w:hAnsi="AcadNusx"/>
          <w:lang w:val="ka-GE"/>
        </w:rPr>
        <w:t>(</w:t>
      </w:r>
      <w:r w:rsidR="00204B66">
        <w:rPr>
          <w:rFonts w:ascii="Sylfaen" w:hAnsi="Sylfaen"/>
          <w:lang w:val="ka-GE"/>
        </w:rPr>
        <w:t>ორმოცდახუთი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საკონტაქტო პირი: ირაკლი ხვადაგაძე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hyperlink r:id="rId10" w:history="1">
        <w:r w:rsidRPr="009D1872">
          <w:rPr>
            <w:rStyle w:val="Hyperlink"/>
            <w:rFonts w:ascii="Sylfaen" w:hAnsi="Sylfaen"/>
            <w:lang w:val="ka-GE"/>
          </w:rPr>
          <w:t>ikhvadagadze@gwp.ge</w:t>
        </w:r>
      </w:hyperlink>
      <w:r w:rsidRPr="009D1872">
        <w:rPr>
          <w:rFonts w:ascii="Sylfaen" w:hAnsi="Sylfaen"/>
          <w:lang w:val="ka-GE"/>
        </w:rPr>
        <w:t xml:space="preserve"> </w:t>
      </w:r>
    </w:p>
    <w:p w14:paraId="4650ECD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ტელ.: +995 322 931111 (1145); 599 505 067</w:t>
      </w:r>
    </w:p>
    <w:p w14:paraId="299BEC8C" w14:textId="77777777" w:rsidR="009D1872" w:rsidRPr="009D1872" w:rsidRDefault="009D1872" w:rsidP="009D1872">
      <w:pPr>
        <w:spacing w:after="0" w:line="240" w:lineRule="auto"/>
        <w:rPr>
          <w:rFonts w:ascii="Sylfaen" w:hAnsi="Sylfaen"/>
          <w:lang w:val="ka-GE"/>
        </w:rPr>
      </w:pPr>
    </w:p>
    <w:p w14:paraId="5DCE7FE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ნინო კობერიძე </w:t>
      </w:r>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77777777"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1" w:history="1">
        <w:r w:rsidRPr="009D1872">
          <w:rPr>
            <w:rStyle w:val="Hyperlink"/>
            <w:rFonts w:ascii="Sylfaen" w:hAnsi="Sylfaen"/>
          </w:rPr>
          <w:t>nkoberidze@gwp.ge</w:t>
        </w:r>
      </w:hyperlink>
      <w:r w:rsidRPr="009D1872">
        <w:rPr>
          <w:rFonts w:ascii="Sylfaen" w:hAnsi="Sylfaen"/>
        </w:rPr>
        <w:t xml:space="preserve"> </w:t>
      </w:r>
    </w:p>
    <w:p w14:paraId="5104B9AD" w14:textId="73AE3477" w:rsidR="009D1872" w:rsidRDefault="009D1872" w:rsidP="009D1872">
      <w:pPr>
        <w:spacing w:after="0" w:line="240" w:lineRule="auto"/>
        <w:rPr>
          <w:rFonts w:ascii="Sylfaen" w:hAnsi="Sylfaen"/>
        </w:rPr>
      </w:pPr>
      <w:r w:rsidRPr="009D1872">
        <w:rPr>
          <w:rFonts w:ascii="Sylfaen" w:hAnsi="Sylfaen"/>
          <w:lang w:val="ka-GE"/>
        </w:rPr>
        <w:t>ტელ.: +995 322 931111 (114</w:t>
      </w:r>
      <w:r w:rsidRPr="009D1872">
        <w:rPr>
          <w:rFonts w:ascii="Sylfaen" w:hAnsi="Sylfaen"/>
        </w:rPr>
        <w:t>6</w:t>
      </w:r>
      <w:r w:rsidRPr="009D1872">
        <w:rPr>
          <w:rFonts w:ascii="Sylfaen" w:hAnsi="Sylfaen"/>
          <w:lang w:val="ka-GE"/>
        </w:rPr>
        <w:t>); 5</w:t>
      </w:r>
      <w:r w:rsidRPr="009D1872">
        <w:rPr>
          <w:rFonts w:ascii="Sylfaen" w:hAnsi="Sylfaen"/>
        </w:rPr>
        <w:t>55</w:t>
      </w:r>
      <w:r w:rsidRPr="009D1872">
        <w:rPr>
          <w:rFonts w:ascii="Sylfaen" w:hAnsi="Sylfaen"/>
          <w:lang w:val="ka-GE"/>
        </w:rPr>
        <w:t xml:space="preserve"> </w:t>
      </w:r>
      <w:r w:rsidRPr="009D1872">
        <w:rPr>
          <w:rFonts w:ascii="Sylfaen" w:hAnsi="Sylfaen"/>
        </w:rPr>
        <w:t>68 93 98</w:t>
      </w:r>
    </w:p>
    <w:p w14:paraId="7D1F9CE2" w14:textId="37AA1283" w:rsidR="00212F2B" w:rsidRDefault="00212F2B" w:rsidP="009D1872">
      <w:pPr>
        <w:spacing w:after="0" w:line="240" w:lineRule="auto"/>
        <w:rPr>
          <w:rFonts w:ascii="Sylfaen" w:hAnsi="Sylfaen"/>
        </w:rPr>
      </w:pPr>
    </w:p>
    <w:p w14:paraId="12950642" w14:textId="77777777" w:rsidR="00212F2B" w:rsidRPr="009D1872" w:rsidRDefault="00212F2B" w:rsidP="009D1872">
      <w:pPr>
        <w:spacing w:after="0" w:line="240" w:lineRule="auto"/>
        <w:rPr>
          <w:rFonts w:ascii="Sylfaen" w:hAnsi="Sylfaen"/>
        </w:rPr>
      </w:pPr>
    </w:p>
    <w:p w14:paraId="49677721" w14:textId="49BDAA78"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p>
    <w:sectPr w:rsidR="009D1872" w:rsidRPr="009D1872" w:rsidSect="00212F2B">
      <w:headerReference w:type="default" r:id="rId12"/>
      <w:footerReference w:type="default" r:id="rId13"/>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3D66" w14:textId="77777777" w:rsidR="00FA0C83" w:rsidRDefault="00FA0C83" w:rsidP="007902EA">
      <w:pPr>
        <w:spacing w:after="0" w:line="240" w:lineRule="auto"/>
      </w:pPr>
      <w:r>
        <w:separator/>
      </w:r>
    </w:p>
  </w:endnote>
  <w:endnote w:type="continuationSeparator" w:id="0">
    <w:p w14:paraId="3DB84705" w14:textId="77777777" w:rsidR="00FA0C83" w:rsidRDefault="00FA0C8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0A36F2EE" w:rsidR="004A3BD8" w:rsidRDefault="004A3BD8">
        <w:pPr>
          <w:pStyle w:val="Footer"/>
          <w:jc w:val="right"/>
        </w:pPr>
        <w:r>
          <w:fldChar w:fldCharType="begin"/>
        </w:r>
        <w:r>
          <w:instrText xml:space="preserve"> PAGE   \* MERGEFORMAT </w:instrText>
        </w:r>
        <w:r>
          <w:fldChar w:fldCharType="separate"/>
        </w:r>
        <w:r w:rsidR="00050855">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78C0" w14:textId="77777777" w:rsidR="00FA0C83" w:rsidRDefault="00FA0C83" w:rsidP="007902EA">
      <w:pPr>
        <w:spacing w:after="0" w:line="240" w:lineRule="auto"/>
      </w:pPr>
      <w:r>
        <w:separator/>
      </w:r>
    </w:p>
  </w:footnote>
  <w:footnote w:type="continuationSeparator" w:id="0">
    <w:p w14:paraId="0E250B13" w14:textId="77777777" w:rsidR="00FA0C83" w:rsidRDefault="00FA0C8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0855"/>
    <w:rsid w:val="00051E54"/>
    <w:rsid w:val="00053EAB"/>
    <w:rsid w:val="0005435C"/>
    <w:rsid w:val="00055E1E"/>
    <w:rsid w:val="00056A31"/>
    <w:rsid w:val="00064AB9"/>
    <w:rsid w:val="000767A6"/>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148A"/>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4B66"/>
    <w:rsid w:val="002056E8"/>
    <w:rsid w:val="00207B93"/>
    <w:rsid w:val="00207CEA"/>
    <w:rsid w:val="0021119E"/>
    <w:rsid w:val="00212F2B"/>
    <w:rsid w:val="0021503D"/>
    <w:rsid w:val="00216A8E"/>
    <w:rsid w:val="00216B88"/>
    <w:rsid w:val="002319CA"/>
    <w:rsid w:val="00237416"/>
    <w:rsid w:val="00241748"/>
    <w:rsid w:val="00241768"/>
    <w:rsid w:val="002422D6"/>
    <w:rsid w:val="00243E1C"/>
    <w:rsid w:val="002468A9"/>
    <w:rsid w:val="00252DA1"/>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1D30"/>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165"/>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5F4500"/>
    <w:rsid w:val="00610FC8"/>
    <w:rsid w:val="006126EA"/>
    <w:rsid w:val="00612A2E"/>
    <w:rsid w:val="00615BD2"/>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07E71"/>
    <w:rsid w:val="00711C86"/>
    <w:rsid w:val="00712E16"/>
    <w:rsid w:val="00713EFC"/>
    <w:rsid w:val="007146D2"/>
    <w:rsid w:val="007151B6"/>
    <w:rsid w:val="00715A5D"/>
    <w:rsid w:val="00717D5F"/>
    <w:rsid w:val="00724BAF"/>
    <w:rsid w:val="007309AA"/>
    <w:rsid w:val="00734570"/>
    <w:rsid w:val="00734FFC"/>
    <w:rsid w:val="00735828"/>
    <w:rsid w:val="00747C17"/>
    <w:rsid w:val="00762943"/>
    <w:rsid w:val="00764A65"/>
    <w:rsid w:val="007715BA"/>
    <w:rsid w:val="00772078"/>
    <w:rsid w:val="007778CE"/>
    <w:rsid w:val="007812FF"/>
    <w:rsid w:val="007902EA"/>
    <w:rsid w:val="0079252D"/>
    <w:rsid w:val="00794191"/>
    <w:rsid w:val="00795526"/>
    <w:rsid w:val="00796BF5"/>
    <w:rsid w:val="007A16C6"/>
    <w:rsid w:val="007A28C4"/>
    <w:rsid w:val="007A330B"/>
    <w:rsid w:val="007A6E1A"/>
    <w:rsid w:val="007A7424"/>
    <w:rsid w:val="007B0071"/>
    <w:rsid w:val="007B2279"/>
    <w:rsid w:val="007B4C58"/>
    <w:rsid w:val="007B7C68"/>
    <w:rsid w:val="007B7D53"/>
    <w:rsid w:val="007C482E"/>
    <w:rsid w:val="007C49AC"/>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00F7"/>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33169"/>
    <w:rsid w:val="00940D2A"/>
    <w:rsid w:val="009508A9"/>
    <w:rsid w:val="00950D10"/>
    <w:rsid w:val="00954423"/>
    <w:rsid w:val="00954527"/>
    <w:rsid w:val="009567A7"/>
    <w:rsid w:val="00957E8C"/>
    <w:rsid w:val="009620CF"/>
    <w:rsid w:val="009621F5"/>
    <w:rsid w:val="0096562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1100"/>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5F94"/>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5D1D"/>
    <w:rsid w:val="00B97F4F"/>
    <w:rsid w:val="00BB0F01"/>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3818"/>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0C83"/>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615C-0DBD-49CD-B603-1B5FBBBF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13</cp:revision>
  <cp:lastPrinted>2015-07-27T06:36:00Z</cp:lastPrinted>
  <dcterms:created xsi:type="dcterms:W3CDTF">2022-08-24T12:41:00Z</dcterms:created>
  <dcterms:modified xsi:type="dcterms:W3CDTF">2023-06-07T14:56:00Z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35489a5d2799d20573a1b2dc67caa6946399373f631cc9753ff72f40c1a272e7</vt:lpwstr>
  </property>
</Properties>
</file>