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37C5C" w:rsidRDefault="009815C7" w:rsidP="00794191">
      <w:pPr>
        <w:spacing w:after="0" w:line="240" w:lineRule="auto"/>
        <w:jc w:val="center"/>
        <w:rPr>
          <w:rFonts w:ascii="Sylfaen" w:hAnsi="Sylfaen" w:cs="Sylfaen"/>
          <w:b/>
        </w:rPr>
      </w:pPr>
    </w:p>
    <w:p w14:paraId="701FB870" w14:textId="14DAF779"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3BAF0678" w:rsidR="001B055A" w:rsidRPr="00F43321" w:rsidRDefault="00A645C0" w:rsidP="00794191">
      <w:pPr>
        <w:spacing w:after="0" w:line="240" w:lineRule="auto"/>
        <w:jc w:val="center"/>
        <w:rPr>
          <w:rFonts w:ascii="Sylfaen" w:hAnsi="Sylfaen" w:cs="Sylfaen"/>
          <w:b/>
          <w:bCs/>
          <w:lang w:val="ka-GE"/>
        </w:rPr>
      </w:pPr>
      <w:r>
        <w:rPr>
          <w:rFonts w:ascii="Sylfaen" w:hAnsi="Sylfaen" w:cs="Sylfaen"/>
          <w:b/>
          <w:lang w:val="ka-GE"/>
        </w:rPr>
        <w:t xml:space="preserve">საოფისე სკამების შესყიდვასთან დაკავშირებით </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06D21C5F" w:rsidR="00FD0DCD" w:rsidRDefault="00FD0DCD" w:rsidP="00665C42">
      <w:pPr>
        <w:spacing w:after="0" w:line="360" w:lineRule="auto"/>
        <w:jc w:val="center"/>
        <w:rPr>
          <w:rFonts w:ascii="AcadNusx" w:hAnsi="AcadNusx"/>
          <w:b/>
        </w:rPr>
      </w:pPr>
    </w:p>
    <w:p w14:paraId="459717CB" w14:textId="78A9E0B8" w:rsidR="00F43321" w:rsidRDefault="00F43321" w:rsidP="00665C42">
      <w:pPr>
        <w:spacing w:after="0" w:line="360" w:lineRule="auto"/>
        <w:jc w:val="center"/>
        <w:rPr>
          <w:rFonts w:ascii="AcadNusx" w:hAnsi="AcadNusx"/>
          <w:b/>
        </w:rPr>
      </w:pPr>
    </w:p>
    <w:p w14:paraId="281EF84B" w14:textId="4E76EE11" w:rsidR="00F43321" w:rsidRDefault="00F43321" w:rsidP="00665C42">
      <w:pPr>
        <w:spacing w:after="0" w:line="360" w:lineRule="auto"/>
        <w:jc w:val="center"/>
        <w:rPr>
          <w:rFonts w:ascii="AcadNusx" w:hAnsi="AcadNusx"/>
          <w:b/>
        </w:rPr>
      </w:pPr>
    </w:p>
    <w:p w14:paraId="4397D81E" w14:textId="5077FD92" w:rsidR="00F43321" w:rsidRDefault="00F43321" w:rsidP="00665C42">
      <w:pPr>
        <w:spacing w:after="0" w:line="360" w:lineRule="auto"/>
        <w:jc w:val="center"/>
        <w:rPr>
          <w:rFonts w:ascii="AcadNusx" w:hAnsi="AcadNusx"/>
          <w:b/>
        </w:rPr>
      </w:pPr>
    </w:p>
    <w:p w14:paraId="2647BCC2" w14:textId="3E867ADF" w:rsidR="00F43321" w:rsidRDefault="00F43321" w:rsidP="00665C42">
      <w:pPr>
        <w:spacing w:after="0" w:line="360" w:lineRule="auto"/>
        <w:jc w:val="center"/>
        <w:rPr>
          <w:rFonts w:ascii="AcadNusx" w:hAnsi="AcadNusx"/>
          <w:b/>
        </w:rPr>
      </w:pPr>
    </w:p>
    <w:p w14:paraId="48248338" w14:textId="4F8CFB15" w:rsidR="00F43321" w:rsidRDefault="00F43321" w:rsidP="00665C42">
      <w:pPr>
        <w:spacing w:after="0" w:line="360" w:lineRule="auto"/>
        <w:jc w:val="center"/>
        <w:rPr>
          <w:rFonts w:ascii="AcadNusx" w:hAnsi="AcadNusx"/>
          <w:b/>
        </w:rPr>
      </w:pPr>
    </w:p>
    <w:p w14:paraId="6E8925D9" w14:textId="12B50975" w:rsidR="00F43321" w:rsidRDefault="00F43321" w:rsidP="00665C42">
      <w:pPr>
        <w:spacing w:after="0" w:line="360" w:lineRule="auto"/>
        <w:jc w:val="center"/>
        <w:rPr>
          <w:rFonts w:ascii="AcadNusx" w:hAnsi="AcadNusx"/>
          <w:b/>
        </w:rPr>
      </w:pPr>
    </w:p>
    <w:p w14:paraId="4638876C" w14:textId="4085F9B7" w:rsidR="00F43321" w:rsidRDefault="00F43321" w:rsidP="00665C42">
      <w:pPr>
        <w:spacing w:after="0" w:line="360" w:lineRule="auto"/>
        <w:jc w:val="center"/>
        <w:rPr>
          <w:rFonts w:ascii="AcadNusx" w:hAnsi="AcadNusx"/>
          <w:b/>
        </w:rPr>
      </w:pPr>
    </w:p>
    <w:p w14:paraId="6EC9C8A7" w14:textId="2A4FDFDD" w:rsidR="00F43321" w:rsidRDefault="00F43321" w:rsidP="00665C42">
      <w:pPr>
        <w:spacing w:after="0" w:line="360" w:lineRule="auto"/>
        <w:jc w:val="center"/>
        <w:rPr>
          <w:rFonts w:ascii="AcadNusx" w:hAnsi="AcadNusx"/>
          <w:b/>
        </w:rPr>
      </w:pPr>
    </w:p>
    <w:p w14:paraId="554BDE20" w14:textId="7C34D90F" w:rsidR="00F43321" w:rsidRDefault="00F43321" w:rsidP="00665C42">
      <w:pPr>
        <w:spacing w:after="0" w:line="360" w:lineRule="auto"/>
        <w:jc w:val="center"/>
        <w:rPr>
          <w:rFonts w:ascii="AcadNusx" w:hAnsi="AcadNusx"/>
          <w:b/>
        </w:rPr>
      </w:pPr>
    </w:p>
    <w:p w14:paraId="1278091E" w14:textId="149476CE" w:rsidR="00F43321" w:rsidRDefault="00F43321" w:rsidP="00665C42">
      <w:pPr>
        <w:spacing w:after="0" w:line="360" w:lineRule="auto"/>
        <w:jc w:val="center"/>
        <w:rPr>
          <w:rFonts w:ascii="AcadNusx" w:hAnsi="AcadNusx"/>
          <w:b/>
        </w:rPr>
      </w:pPr>
    </w:p>
    <w:p w14:paraId="1E9E89DD" w14:textId="77777777" w:rsidR="00F43321" w:rsidRPr="00E37C5C" w:rsidRDefault="00F43321"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2EC6C745"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F43321">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A645C0">
        <w:rPr>
          <w:rFonts w:ascii="Sylfaen" w:hAnsi="Sylfaen" w:cs="Sylfaen"/>
          <w:b/>
          <w:lang w:val="ka-GE"/>
        </w:rPr>
        <w:t>საოფისე სკამების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023A81D6"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w:t>
      </w:r>
      <w:r w:rsidR="00A645C0">
        <w:rPr>
          <w:rFonts w:ascii="Sylfaen" w:hAnsi="Sylfaen" w:cs="Sylfaen"/>
          <w:lang w:val="ka-GE"/>
        </w:rPr>
        <w:t>(ები)</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647869">
        <w:rPr>
          <w:rFonts w:ascii="Sylfaen" w:hAnsi="Sylfaen"/>
          <w:lang w:val="ka-GE"/>
        </w:rPr>
        <w:t>საქონლისა და რაოდენობის</w:t>
      </w:r>
      <w:r w:rsidR="007B332D">
        <w:rPr>
          <w:rFonts w:ascii="Sylfaen" w:hAnsi="Sylfaen"/>
          <w:lang w:val="ka-GE"/>
        </w:rPr>
        <w:t xml:space="preserve"> მოწოდება</w:t>
      </w:r>
      <w:r w:rsidR="00A01929">
        <w:rPr>
          <w:rFonts w:ascii="Sylfaen" w:hAnsi="Sylfaen"/>
          <w:lang w:val="ka-GE"/>
        </w:rPr>
        <w:t xml:space="preserve"> დანართ N2-ში მოცემულ ლოკაციებზე შესაბამის პერიოდში. </w:t>
      </w:r>
    </w:p>
    <w:p w14:paraId="64C58EC7" w14:textId="5FECD6EC" w:rsidR="00A01929" w:rsidRPr="00A01929" w:rsidRDefault="00A01929" w:rsidP="005B1472">
      <w:pPr>
        <w:jc w:val="both"/>
        <w:rPr>
          <w:rFonts w:ascii="Sylfaen" w:hAnsi="Sylfaen" w:cs="Sylfaen"/>
          <w:color w:val="FF0000"/>
          <w:lang w:val="ka-GE"/>
        </w:rPr>
      </w:pPr>
      <w:r>
        <w:rPr>
          <w:rFonts w:ascii="Sylfaen" w:hAnsi="Sylfaen"/>
          <w:color w:val="FF0000"/>
          <w:lang w:val="ka-GE"/>
        </w:rPr>
        <w:t xml:space="preserve">უპირატესობა მიენიჭება კომპანი(ებ)ის შემოთავაზებას, რომელთა  მარაგებიც ადგილზე იქნება.  </w:t>
      </w:r>
    </w:p>
    <w:p w14:paraId="42C81158" w14:textId="037A2401" w:rsidR="001B055A" w:rsidRPr="00A01929" w:rsidRDefault="001B055A" w:rsidP="00A01929">
      <w:pPr>
        <w:pStyle w:val="ListParagraph"/>
        <w:numPr>
          <w:ilvl w:val="1"/>
          <w:numId w:val="33"/>
        </w:numPr>
        <w:spacing w:after="0" w:line="240" w:lineRule="auto"/>
        <w:jc w:val="both"/>
        <w:rPr>
          <w:rFonts w:ascii="Sylfaen" w:hAnsi="Sylfaen"/>
          <w:b/>
          <w:lang w:val="ka-GE"/>
        </w:rPr>
      </w:pPr>
      <w:r w:rsidRPr="00A01929">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CE0B6C1" w14:textId="77777777" w:rsidR="00A01929" w:rsidRPr="00A01929" w:rsidRDefault="00A01929" w:rsidP="00A01929">
      <w:pPr>
        <w:pStyle w:val="ListParagraph"/>
        <w:spacing w:after="0" w:line="240" w:lineRule="auto"/>
        <w:ind w:left="360"/>
        <w:jc w:val="both"/>
        <w:rPr>
          <w:rFonts w:ascii="Sylfaen" w:hAnsi="Sylfaen"/>
          <w:b/>
          <w:lang w:val="ka-GE"/>
        </w:rPr>
      </w:pPr>
    </w:p>
    <w:p w14:paraId="770C26CC" w14:textId="009CB068" w:rsidR="000B1F3B" w:rsidRPr="00F43321" w:rsidRDefault="00A645C0" w:rsidP="000353F8">
      <w:pPr>
        <w:spacing w:after="0" w:line="240" w:lineRule="auto"/>
        <w:jc w:val="both"/>
        <w:rPr>
          <w:rFonts w:ascii="Sylfaen" w:hAnsi="Sylfaen" w:cs="Sylfaen"/>
          <w:bCs/>
          <w:lang w:val="ka-GE"/>
        </w:rPr>
      </w:pPr>
      <w:r>
        <w:rPr>
          <w:rFonts w:ascii="Sylfaen" w:hAnsi="Sylfaen" w:cs="Sylfaen"/>
          <w:bCs/>
          <w:lang w:val="ka-GE"/>
        </w:rPr>
        <w:t>საოფისე სკამების</w:t>
      </w:r>
      <w:r w:rsidR="00F43321" w:rsidRPr="00F43321">
        <w:rPr>
          <w:rFonts w:ascii="Sylfaen" w:hAnsi="Sylfaen" w:cs="Sylfaen"/>
          <w:bCs/>
          <w:lang w:val="ka-GE"/>
        </w:rPr>
        <w:t xml:space="preserve"> სპეციფიკაცია და რაოდენობა</w:t>
      </w:r>
      <w:r>
        <w:rPr>
          <w:rFonts w:ascii="Sylfaen" w:hAnsi="Sylfaen" w:cs="Sylfaen"/>
          <w:bCs/>
          <w:lang w:val="ka-GE"/>
        </w:rPr>
        <w:t xml:space="preserve"> მოცემულია დანართი N1-ის სახით, ხოლო ობიექტების ჩამონათვალი, მისამართი, პოზიციების მიხედვით განაწილება მოცემულია დანართ N2-ში. </w:t>
      </w:r>
    </w:p>
    <w:p w14:paraId="2FF693B7" w14:textId="77777777" w:rsidR="00F43321" w:rsidRPr="00F45EB8" w:rsidRDefault="00F43321"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55DE4C81" w14:textId="185761AD" w:rsidR="00F43321" w:rsidRDefault="00647869"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განფასება უნდა მოიცავდეს ყველა საფასურს - ტრანსპორტირებასა და დას</w:t>
      </w:r>
      <w:r w:rsidR="00A645C0">
        <w:rPr>
          <w:rFonts w:ascii="Sylfaen" w:hAnsi="Sylfaen" w:cs="Sylfaen"/>
          <w:bCs/>
          <w:i/>
          <w:lang w:val="ka-GE"/>
        </w:rPr>
        <w:t>აწყობებას  დანართი N2</w:t>
      </w:r>
      <w:r>
        <w:rPr>
          <w:rFonts w:ascii="Sylfaen" w:hAnsi="Sylfaen" w:cs="Sylfaen"/>
          <w:bCs/>
          <w:i/>
          <w:lang w:val="ka-GE"/>
        </w:rPr>
        <w:t>-ის შესაბამისად</w:t>
      </w:r>
      <w:r w:rsidR="00A01929">
        <w:rPr>
          <w:rFonts w:ascii="Sylfaen" w:hAnsi="Sylfaen" w:cs="Sylfaen"/>
          <w:bCs/>
          <w:i/>
          <w:lang w:val="ka-GE"/>
        </w:rPr>
        <w:t xml:space="preserve"> ლოკაციებზე და მოცემულ პერიოდში. </w:t>
      </w:r>
      <w:r>
        <w:rPr>
          <w:rFonts w:ascii="Sylfaen" w:hAnsi="Sylfaen" w:cs="Sylfaen"/>
          <w:bCs/>
          <w:i/>
          <w:lang w:val="ka-GE"/>
        </w:rPr>
        <w:t xml:space="preserve"> </w:t>
      </w:r>
    </w:p>
    <w:p w14:paraId="2237FE8B" w14:textId="57DECDF9" w:rsid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 დასრულების შემდეგ საჭიროების შემთხვევაში, მო</w:t>
      </w:r>
      <w:r w:rsidR="00685CEB">
        <w:rPr>
          <w:rFonts w:ascii="Sylfaen" w:hAnsi="Sylfaen" w:cs="Sylfaen"/>
          <w:bCs/>
          <w:i/>
          <w:lang w:val="ka-GE"/>
        </w:rPr>
        <w:t>ა</w:t>
      </w:r>
      <w:r>
        <w:rPr>
          <w:rFonts w:ascii="Sylfaen" w:hAnsi="Sylfaen" w:cs="Sylfaen"/>
          <w:bCs/>
          <w:i/>
          <w:lang w:val="ka-GE"/>
        </w:rPr>
        <w:t>ხდ</w:t>
      </w:r>
      <w:r w:rsidR="00685CEB">
        <w:rPr>
          <w:rFonts w:ascii="Sylfaen" w:hAnsi="Sylfaen" w:cs="Sylfaen"/>
          <w:bCs/>
          <w:i/>
          <w:lang w:val="ka-GE"/>
        </w:rPr>
        <w:t>ინოს</w:t>
      </w:r>
      <w:r>
        <w:rPr>
          <w:rFonts w:ascii="Sylfaen" w:hAnsi="Sylfaen" w:cs="Sylfaen"/>
          <w:bCs/>
          <w:i/>
          <w:lang w:val="ka-GE"/>
        </w:rPr>
        <w:t xml:space="preserve"> რაოდენობის ცვილილება-კორექტირება. </w:t>
      </w:r>
    </w:p>
    <w:p w14:paraId="45971F6D" w14:textId="77777777" w:rsidR="00685CEB" w:rsidRDefault="00685CEB" w:rsidP="00F90B03">
      <w:pPr>
        <w:rPr>
          <w:rFonts w:ascii="Sylfaen" w:hAnsi="Sylfaen" w:cs="Sylfaen"/>
          <w:b/>
          <w:lang w:val="ka-GE"/>
        </w:rPr>
      </w:pPr>
    </w:p>
    <w:p w14:paraId="24311423" w14:textId="6BCD7F3C"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21D7CF2C"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 xml:space="preserve">პრეტენდეტნმა შეიძლება მონაწილეობა მიიღოს როგორც </w:t>
      </w:r>
      <w:r w:rsidR="005D30A2">
        <w:rPr>
          <w:rFonts w:ascii="Sylfaen" w:hAnsi="Sylfaen" w:cs="Sylfaen"/>
          <w:color w:val="222222"/>
          <w:u w:val="single"/>
          <w:shd w:val="clear" w:color="auto" w:fill="FFFFFF"/>
          <w:lang w:val="ka-GE"/>
        </w:rPr>
        <w:t xml:space="preserve">სრულ </w:t>
      </w:r>
      <w:r w:rsidR="00F43321">
        <w:rPr>
          <w:rFonts w:ascii="Sylfaen" w:hAnsi="Sylfaen" w:cs="Sylfaen"/>
          <w:color w:val="222222"/>
          <w:u w:val="single"/>
          <w:shd w:val="clear" w:color="auto" w:fill="FFFFFF"/>
          <w:lang w:val="ka-GE"/>
        </w:rPr>
        <w:t>პოზიციაზე</w:t>
      </w:r>
      <w:r w:rsidR="005D30A2">
        <w:rPr>
          <w:rFonts w:ascii="Sylfaen" w:hAnsi="Sylfaen" w:cs="Sylfaen"/>
          <w:color w:val="222222"/>
          <w:u w:val="single"/>
          <w:shd w:val="clear" w:color="auto" w:fill="FFFFFF"/>
          <w:lang w:val="ka-GE"/>
        </w:rPr>
        <w:t xml:space="preserve"> სრულად, ასევე ცალკეული </w:t>
      </w:r>
      <w:r w:rsidR="00F43321">
        <w:rPr>
          <w:rFonts w:ascii="Sylfaen" w:hAnsi="Sylfaen" w:cs="Sylfaen"/>
          <w:color w:val="222222"/>
          <w:u w:val="single"/>
          <w:shd w:val="clear" w:color="auto" w:fill="FFFFFF"/>
          <w:lang w:val="ka-GE"/>
        </w:rPr>
        <w:t>პოზიცი</w:t>
      </w:r>
      <w:r>
        <w:rPr>
          <w:rFonts w:ascii="Sylfaen" w:hAnsi="Sylfaen" w:cs="Sylfaen"/>
          <w:color w:val="222222"/>
          <w:u w:val="single"/>
          <w:shd w:val="clear" w:color="auto" w:fill="FFFFFF"/>
          <w:lang w:val="ka-GE"/>
        </w:rPr>
        <w:t xml:space="preserve">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70D654B"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A01929">
        <w:rPr>
          <w:rFonts w:ascii="Sylfaen" w:hAnsi="Sylfaen" w:cs="Sylfaen"/>
          <w:lang w:val="ka-GE"/>
        </w:rPr>
        <w:t xml:space="preserve">და პერიოდი მოცემულია დანართი N2-ის სახით. </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76FDA261"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579CA2B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F43321">
        <w:rPr>
          <w:rFonts w:ascii="Sylfaen" w:hAnsi="Sylfaen" w:cs="Sylfaen"/>
          <w:lang w:val="ka-GE"/>
        </w:rPr>
        <w:t xml:space="preserve">ო რეესტრიდან, განახლებული </w:t>
      </w:r>
      <w:r w:rsidR="00F43321" w:rsidRPr="00685CEB">
        <w:rPr>
          <w:rFonts w:ascii="Sylfaen" w:hAnsi="Sylfaen" w:cs="Sylfaen"/>
          <w:b/>
          <w:lang w:val="ka-GE"/>
        </w:rPr>
        <w:t>ბოლო 3</w:t>
      </w:r>
      <w:r w:rsidRPr="00685CEB">
        <w:rPr>
          <w:rFonts w:ascii="Sylfaen" w:hAnsi="Sylfaen" w:cs="Sylfaen"/>
          <w:b/>
          <w:lang w:val="ka-GE"/>
        </w:rPr>
        <w:t xml:space="preserve"> თვის განმავლობაში.</w:t>
      </w:r>
      <w:r w:rsidRPr="00F64D93">
        <w:rPr>
          <w:rFonts w:ascii="Sylfaen" w:hAnsi="Sylfaen" w:cs="Sylfaen"/>
          <w:lang w:val="ka-GE"/>
        </w:rPr>
        <w:t xml:space="preserve"> </w:t>
      </w:r>
    </w:p>
    <w:p w14:paraId="5BEB1FB7" w14:textId="795AA864" w:rsidR="00E152DE" w:rsidRPr="00E152DE" w:rsidRDefault="00F43321" w:rsidP="00A97488">
      <w:pPr>
        <w:pStyle w:val="ListParagraph"/>
        <w:numPr>
          <w:ilvl w:val="0"/>
          <w:numId w:val="40"/>
        </w:numPr>
        <w:spacing w:before="240" w:after="0" w:line="360" w:lineRule="auto"/>
        <w:jc w:val="both"/>
        <w:rPr>
          <w:rFonts w:ascii="Sylfaen" w:hAnsi="Sylfaen"/>
          <w:b/>
          <w:lang w:val="ka-GE"/>
        </w:rPr>
      </w:pPr>
      <w:r w:rsidRPr="00E152DE">
        <w:rPr>
          <w:rFonts w:ascii="Sylfaen" w:hAnsi="Sylfaen" w:cs="Sylfaen"/>
          <w:lang w:val="ka-GE"/>
        </w:rPr>
        <w:t xml:space="preserve">საჭიროების შემთხვევაში, </w:t>
      </w:r>
      <w:r w:rsidR="00A01929">
        <w:rPr>
          <w:rFonts w:ascii="Sylfaen" w:hAnsi="Sylfaen" w:cs="Sylfaen"/>
          <w:lang w:val="ka-GE"/>
        </w:rPr>
        <w:t xml:space="preserve">შემოთავაზებული პოზიციების შეფასებისათვის შემოთავაზების ჩვენება-შეფასება ფიზიკურად (შოუ რუმში ვიზიტის და/ან ადგილზე მოწოდების გზით).  </w:t>
      </w:r>
    </w:p>
    <w:p w14:paraId="762675D8" w14:textId="5EA786CC" w:rsidR="00E45EB8" w:rsidRPr="00E152DE" w:rsidRDefault="00E90A78" w:rsidP="00E152DE">
      <w:pPr>
        <w:spacing w:before="240" w:after="0" w:line="360" w:lineRule="auto"/>
        <w:jc w:val="both"/>
        <w:rPr>
          <w:rFonts w:ascii="Sylfaen" w:hAnsi="Sylfaen"/>
          <w:b/>
          <w:lang w:val="ka-GE"/>
        </w:rPr>
      </w:pPr>
      <w:r w:rsidRPr="00E152DE">
        <w:rPr>
          <w:rFonts w:ascii="Sylfaen" w:hAnsi="Sylfaen" w:cs="Sylfaen"/>
          <w:b/>
          <w:lang w:val="ka-GE"/>
        </w:rPr>
        <w:t>1.10</w:t>
      </w:r>
      <w:r w:rsidR="00993D47" w:rsidRPr="00E152DE">
        <w:rPr>
          <w:rFonts w:ascii="Sylfaen" w:hAnsi="Sylfaen" w:cs="Sylfaen"/>
          <w:b/>
          <w:lang w:val="ka-GE"/>
        </w:rPr>
        <w:t xml:space="preserve"> </w:t>
      </w:r>
      <w:r w:rsidR="00580531" w:rsidRPr="00E152DE">
        <w:rPr>
          <w:rFonts w:ascii="Sylfaen" w:hAnsi="Sylfaen" w:cs="Sylfaen"/>
          <w:b/>
          <w:lang w:val="ka-GE"/>
        </w:rPr>
        <w:t>ხელშეკრულების</w:t>
      </w:r>
      <w:r w:rsidR="00CC4789" w:rsidRPr="00E152DE">
        <w:rPr>
          <w:rFonts w:ascii="Sylfaen" w:hAnsi="Sylfaen"/>
          <w:b/>
          <w:lang w:val="ka-GE"/>
        </w:rPr>
        <w:t xml:space="preserve"> გაფორმება</w:t>
      </w:r>
    </w:p>
    <w:p w14:paraId="79CA60FF" w14:textId="72370C23"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A01929">
        <w:rPr>
          <w:rFonts w:ascii="Sylfaen" w:hAnsi="Sylfaen"/>
          <w:lang w:val="ka-GE"/>
        </w:rPr>
        <w:t>ხ</w:t>
      </w:r>
      <w:bookmarkStart w:id="0" w:name="_GoBack"/>
      <w:bookmarkEnd w:id="0"/>
      <w:r w:rsidRPr="00E37C5C">
        <w:rPr>
          <w:rFonts w:ascii="Sylfaen" w:hAnsi="Sylfaen" w:cs="Sylfaen"/>
          <w:lang w:val="ka-GE"/>
        </w:rPr>
        <w:t>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BC6D65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685CEB">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685CEB">
        <w:rPr>
          <w:rFonts w:ascii="Sylfaen" w:hAnsi="Sylfaen"/>
          <w:lang w:val="ka-GE"/>
        </w:rPr>
        <w:t>სამი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B0F14A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C97DDED" w14:textId="32F0C9D5" w:rsidR="00685CEB" w:rsidRPr="00685CEB" w:rsidRDefault="00685CEB" w:rsidP="00BD74F8">
      <w:pPr>
        <w:spacing w:after="0" w:line="360" w:lineRule="auto"/>
        <w:ind w:left="360"/>
        <w:rPr>
          <w:rFonts w:ascii="Sylfaen" w:hAnsi="Sylfaen"/>
          <w:lang w:val="ka-GE"/>
        </w:rPr>
      </w:pPr>
      <w:r>
        <w:rPr>
          <w:rFonts w:ascii="Sylfaen" w:hAnsi="Sylfaen"/>
        </w:rPr>
        <w:t xml:space="preserve">1.12.4 </w:t>
      </w:r>
      <w:proofErr w:type="gramStart"/>
      <w:r w:rsidRPr="00A01929">
        <w:rPr>
          <w:rFonts w:ascii="Sylfaen" w:hAnsi="Sylfaen"/>
          <w:b/>
          <w:lang w:val="ka-GE"/>
        </w:rPr>
        <w:t>ტენდერში</w:t>
      </w:r>
      <w:proofErr w:type="gramEnd"/>
      <w:r w:rsidRPr="00A01929">
        <w:rPr>
          <w:rFonts w:ascii="Sylfaen" w:hAnsi="Sylfaen"/>
          <w:b/>
          <w:lang w:val="ka-GE"/>
        </w:rPr>
        <w:t xml:space="preserve"> მონაწილეობა უფასოა</w:t>
      </w:r>
      <w:r>
        <w:rPr>
          <w:rFonts w:ascii="Sylfaen" w:hAnsi="Sylfaen"/>
          <w:lang w:val="ka-GE"/>
        </w:rPr>
        <w:t xml:space="preserve">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5934" w14:textId="77777777" w:rsidR="00234233" w:rsidRDefault="00234233" w:rsidP="007902EA">
      <w:pPr>
        <w:spacing w:after="0" w:line="240" w:lineRule="auto"/>
      </w:pPr>
      <w:r>
        <w:separator/>
      </w:r>
    </w:p>
  </w:endnote>
  <w:endnote w:type="continuationSeparator" w:id="0">
    <w:p w14:paraId="16CAC802" w14:textId="77777777" w:rsidR="00234233" w:rsidRDefault="0023423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47C87D1" w:rsidR="004A3BD8" w:rsidRDefault="004A3BD8">
        <w:pPr>
          <w:pStyle w:val="Footer"/>
          <w:jc w:val="right"/>
        </w:pPr>
        <w:r>
          <w:fldChar w:fldCharType="begin"/>
        </w:r>
        <w:r>
          <w:instrText xml:space="preserve"> PAGE   \* MERGEFORMAT </w:instrText>
        </w:r>
        <w:r>
          <w:fldChar w:fldCharType="separate"/>
        </w:r>
        <w:r w:rsidR="00A01929">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EAF8" w14:textId="77777777" w:rsidR="00234233" w:rsidRDefault="00234233" w:rsidP="007902EA">
      <w:pPr>
        <w:spacing w:after="0" w:line="240" w:lineRule="auto"/>
      </w:pPr>
      <w:r>
        <w:separator/>
      </w:r>
    </w:p>
  </w:footnote>
  <w:footnote w:type="continuationSeparator" w:id="0">
    <w:p w14:paraId="5EEF0BFF" w14:textId="77777777" w:rsidR="00234233" w:rsidRDefault="0023423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4233"/>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0B88"/>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5F09"/>
    <w:rsid w:val="005D7073"/>
    <w:rsid w:val="005E05B1"/>
    <w:rsid w:val="005E130F"/>
    <w:rsid w:val="005F3357"/>
    <w:rsid w:val="00610FC8"/>
    <w:rsid w:val="00615606"/>
    <w:rsid w:val="00615BD2"/>
    <w:rsid w:val="00616DE3"/>
    <w:rsid w:val="00632910"/>
    <w:rsid w:val="00633210"/>
    <w:rsid w:val="00634B58"/>
    <w:rsid w:val="006447A4"/>
    <w:rsid w:val="00647869"/>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85CEB"/>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01CFC"/>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D0850"/>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1929"/>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5C0"/>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0471-EC0D-4DDA-8B10-7B1FF7C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11</cp:revision>
  <cp:lastPrinted>2015-07-27T06:36:00Z</cp:lastPrinted>
  <dcterms:created xsi:type="dcterms:W3CDTF">2022-01-26T14:28:00Z</dcterms:created>
  <dcterms:modified xsi:type="dcterms:W3CDTF">2023-09-15T11:45:00Z</dcterms:modified>
</cp:coreProperties>
</file>