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D1302F7" w14:textId="6C0748F2" w:rsidR="009344C3" w:rsidRPr="008530EC" w:rsidRDefault="009344C3" w:rsidP="00C17452">
      <w:pPr>
        <w:jc w:val="center"/>
        <w:rPr>
          <w:b/>
          <w:bCs/>
        </w:rPr>
      </w:pPr>
      <w:r w:rsidRPr="008530EC">
        <w:rPr>
          <w:rFonts w:eastAsiaTheme="minorHAnsi"/>
          <w:b/>
          <w:color w:val="000000"/>
        </w:rPr>
        <w:t>На прокладку двух новых кабельных линий 0,4кВ для колонок №№1,3 (причал №9) питания портальных кранов.</w:t>
      </w: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356BA8B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1E027C">
        <w:rPr>
          <w:b/>
          <w:bCs/>
          <w:iCs/>
        </w:rPr>
        <w:t>29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7E344A92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1E027C">
        <w:rPr>
          <w:b/>
          <w:bCs/>
          <w:iCs/>
        </w:rPr>
        <w:t>29</w:t>
      </w:r>
      <w:r w:rsidR="00C17452" w:rsidRPr="00267970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16B8126C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19.2.</w:t>
      </w:r>
      <w:r w:rsidR="00475C5B">
        <w:rPr>
          <w:b/>
          <w:bCs/>
        </w:rPr>
        <w:t xml:space="preserve"> </w:t>
      </w:r>
      <w:r w:rsidR="006B7F51" w:rsidRPr="004C0ED6">
        <w:rPr>
          <w:bCs/>
        </w:rPr>
        <w:t xml:space="preserve">Заявки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 xml:space="preserve">печатью потенциального поставщика в период, </w:t>
      </w:r>
      <w:proofErr w:type="gramStart"/>
      <w:r w:rsidR="006B7F51" w:rsidRPr="004C0ED6">
        <w:rPr>
          <w:bCs/>
        </w:rPr>
        <w:t>указанный  в</w:t>
      </w:r>
      <w:proofErr w:type="gramEnd"/>
      <w:r w:rsidR="006B7F51" w:rsidRPr="004C0ED6">
        <w:rPr>
          <w:bCs/>
        </w:rPr>
        <w:t xml:space="preserve">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5028DB48" w14:textId="77777777" w:rsidR="00050AE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371DB7EE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1E027C">
        <w:rPr>
          <w:b/>
          <w:bCs/>
          <w:iCs/>
        </w:rPr>
        <w:t>29</w:t>
      </w:r>
      <w:r w:rsidR="00721E6E" w:rsidRPr="002019D0">
        <w:rPr>
          <w:b/>
          <w:bCs/>
          <w:iCs/>
        </w:rPr>
        <w:t>.</w:t>
      </w:r>
      <w:r w:rsidR="00A70327" w:rsidRPr="002019D0">
        <w:rPr>
          <w:b/>
          <w:bCs/>
          <w:iCs/>
        </w:rPr>
        <w:t>0</w:t>
      </w:r>
      <w:r w:rsidR="00A70327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0A25E6BA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1E027C">
        <w:rPr>
          <w:b/>
          <w:bCs/>
          <w:iCs/>
        </w:rPr>
        <w:t>29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A70327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lastRenderedPageBreak/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475C5B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 xml:space="preserve"> Техническое задание</w:t>
      </w:r>
      <w:r w:rsidR="007D113F" w:rsidRPr="00475C5B">
        <w:rPr>
          <w:bCs/>
          <w:iCs/>
          <w:sz w:val="24"/>
          <w:szCs w:val="24"/>
        </w:rPr>
        <w:t>.</w:t>
      </w:r>
    </w:p>
    <w:p w14:paraId="28CBD59C" w14:textId="0FA21BD6" w:rsidR="00B14951" w:rsidRPr="00475C5B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75C5B">
        <w:rPr>
          <w:sz w:val="24"/>
          <w:szCs w:val="24"/>
        </w:rPr>
        <w:t>Форма Заявки на участие в тендере.</w:t>
      </w:r>
    </w:p>
    <w:p w14:paraId="2ECE790C" w14:textId="150BCE05" w:rsidR="007D113F" w:rsidRPr="00475C5B" w:rsidRDefault="00A70327" w:rsidP="00475C5B">
      <w:pPr>
        <w:pStyle w:val="a4"/>
        <w:numPr>
          <w:ilvl w:val="0"/>
          <w:numId w:val="22"/>
        </w:numPr>
        <w:tabs>
          <w:tab w:val="left" w:pos="709"/>
        </w:tabs>
        <w:rPr>
          <w:bCs/>
          <w:iCs/>
          <w:sz w:val="24"/>
          <w:szCs w:val="24"/>
        </w:rPr>
      </w:pPr>
      <w:r w:rsidRPr="00475C5B">
        <w:rPr>
          <w:bCs/>
          <w:iCs/>
          <w:sz w:val="24"/>
          <w:szCs w:val="24"/>
        </w:rPr>
        <w:t>Смета</w:t>
      </w:r>
      <w:r w:rsidR="00475C5B">
        <w:rPr>
          <w:bCs/>
          <w:iCs/>
          <w:sz w:val="24"/>
          <w:szCs w:val="24"/>
        </w:rPr>
        <w:t>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475C5B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475C5B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475C5B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475C5B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00C6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E027C"/>
    <w:rsid w:val="001F23F5"/>
    <w:rsid w:val="001F7CDF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75C5B"/>
    <w:rsid w:val="004871E2"/>
    <w:rsid w:val="00490395"/>
    <w:rsid w:val="004A13D4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30EC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344C3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70327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3CBA-4D6E-4C1A-A427-20E9F3A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2023-08-02T05:55:00Z</cp:lastPrinted>
  <dcterms:created xsi:type="dcterms:W3CDTF">2023-07-06T14:54:00Z</dcterms:created>
  <dcterms:modified xsi:type="dcterms:W3CDTF">2023-09-25T06:04:00Z</dcterms:modified>
</cp:coreProperties>
</file>