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ქაფწარმომქნელი</w:t>
      </w:r>
      <w:proofErr w:type="spellEnd"/>
      <w:r>
        <w:rPr>
          <w:lang w:eastAsia="en-US"/>
        </w:rPr>
        <w:t xml:space="preserve"> </w:t>
      </w:r>
      <w:r>
        <w:rPr>
          <w:lang w:val="ka-GE" w:eastAsia="en-US"/>
        </w:rPr>
        <w:t>ნივთიერების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ტექნიკური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აღწერილობა</w:t>
      </w:r>
      <w:proofErr w:type="spellEnd"/>
      <w:r>
        <w:rPr>
          <w:lang w:eastAsia="en-US"/>
        </w:rPr>
        <w:t>:</w:t>
      </w:r>
    </w:p>
    <w:p w:rsidR="00786C9F" w:rsidRDefault="00786C9F" w:rsidP="00786C9F">
      <w:pPr>
        <w:rPr>
          <w:lang w:eastAsia="en-US"/>
        </w:rPr>
      </w:pPr>
    </w:p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უნივერსალური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ალკოჰოლისადმი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მდგრადი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სპეციალური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მიზნებისთვის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მაგალითად</w:t>
      </w:r>
      <w:proofErr w:type="spellEnd"/>
      <w:r>
        <w:rPr>
          <w:lang w:eastAsia="en-US"/>
        </w:rPr>
        <w:t xml:space="preserve"> AFFF-AR, </w:t>
      </w:r>
      <w:proofErr w:type="spellStart"/>
      <w:r>
        <w:rPr>
          <w:lang w:eastAsia="en-US"/>
        </w:rPr>
        <w:t>ალკოჰოლისადმი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მდგრადი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რომელიც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შექმნილია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დაბალი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საშუალო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დაბალი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აქტივობის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ქაფების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წარმოებისთვის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სასმელი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ზღვის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წყლის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გამოყენებით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b </w:t>
      </w:r>
      <w:proofErr w:type="spellStart"/>
      <w:r>
        <w:rPr>
          <w:lang w:eastAsia="en-US"/>
        </w:rPr>
        <w:t>კლასის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ხანძრების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ჩაქრობისთვის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დამოწმებული</w:t>
      </w:r>
      <w:proofErr w:type="spellEnd"/>
      <w:r>
        <w:rPr>
          <w:lang w:eastAsia="en-US"/>
        </w:rPr>
        <w:t xml:space="preserve"> BS EN 1568. </w:t>
      </w:r>
      <w:proofErr w:type="spellStart"/>
      <w:r>
        <w:rPr>
          <w:lang w:eastAsia="en-US"/>
        </w:rPr>
        <w:t>ეს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არის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ზედაპირულად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აქტიური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ნივთიერებების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წყალხსნარი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სტაბილიზაციის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დანამატებით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ხელმისაწვდომია</w:t>
      </w:r>
      <w:proofErr w:type="spellEnd"/>
      <w:r>
        <w:rPr>
          <w:lang w:eastAsia="en-US"/>
        </w:rPr>
        <w:t xml:space="preserve"> 6%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მოდიფიკაციის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სახით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დაასხით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წერტილი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არაუმეტეს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მინუს</w:t>
      </w:r>
      <w:proofErr w:type="spellEnd"/>
      <w:r>
        <w:rPr>
          <w:lang w:eastAsia="en-US"/>
        </w:rPr>
        <w:t xml:space="preserve"> 3 ºC.</w:t>
      </w:r>
    </w:p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ხსნარისა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პოლარული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აალებადი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სითხის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შერევის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შესამცირებლად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უნდა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შეიცავდეს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პლასტიფიკატორებს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ბიოპოლიმერებს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უნივერსალური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ხანძრის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ჩაქრობის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ქაფი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რომელიც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შექმნილია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სპეციალურად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პოლარული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სითხეების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აცეტონი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დიეთილის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ეთერი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მეთილის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სპირტი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მეთილის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აცეტატი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მეთილის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ტერტ-ბუტილის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ეთერი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ა.შ</w:t>
      </w:r>
      <w:proofErr w:type="spellEnd"/>
      <w:r>
        <w:rPr>
          <w:lang w:eastAsia="en-US"/>
        </w:rPr>
        <w:t xml:space="preserve">.) </w:t>
      </w:r>
      <w:proofErr w:type="spellStart"/>
      <w:r>
        <w:rPr>
          <w:lang w:eastAsia="en-US"/>
        </w:rPr>
        <w:t>ჩაქრობისთვის</w:t>
      </w:r>
      <w:proofErr w:type="spellEnd"/>
      <w:r>
        <w:rPr>
          <w:lang w:eastAsia="en-US"/>
        </w:rPr>
        <w:t>.).</w:t>
      </w:r>
    </w:p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ასევე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უნდა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აჩვენოს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კარგი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შედეგები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ნავთობპროდუქტების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სტაბილური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გაზის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კონდენსატებისა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პოლარული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დანამატების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შემცველი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მაღალი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ოქტანური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საწვავის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ჩაქრობისას</w:t>
      </w:r>
      <w:proofErr w:type="spellEnd"/>
      <w:r>
        <w:rPr>
          <w:lang w:eastAsia="en-US"/>
        </w:rPr>
        <w:t>.</w:t>
      </w:r>
    </w:p>
    <w:p w:rsidR="00786C9F" w:rsidRPr="004D7C50" w:rsidRDefault="00786C9F" w:rsidP="00786C9F">
      <w:pPr>
        <w:rPr>
          <w:color w:val="FF0000"/>
          <w:lang w:eastAsia="en-US"/>
        </w:rPr>
      </w:pPr>
      <w:proofErr w:type="spellStart"/>
      <w:r w:rsidRPr="004D7C50">
        <w:rPr>
          <w:color w:val="FF0000"/>
          <w:lang w:eastAsia="en-US"/>
        </w:rPr>
        <w:t>საჭირო</w:t>
      </w:r>
      <w:proofErr w:type="spellEnd"/>
      <w:r w:rsidRPr="004D7C50">
        <w:rPr>
          <w:color w:val="FF0000"/>
          <w:lang w:eastAsia="en-US"/>
        </w:rPr>
        <w:t xml:space="preserve"> </w:t>
      </w:r>
      <w:proofErr w:type="spellStart"/>
      <w:r w:rsidRPr="004D7C50">
        <w:rPr>
          <w:color w:val="FF0000"/>
          <w:lang w:eastAsia="en-US"/>
        </w:rPr>
        <w:t>რაოდენობაა</w:t>
      </w:r>
      <w:proofErr w:type="spellEnd"/>
      <w:r w:rsidRPr="004D7C50">
        <w:rPr>
          <w:color w:val="FF0000"/>
          <w:lang w:eastAsia="en-US"/>
        </w:rPr>
        <w:t xml:space="preserve"> 60 </w:t>
      </w:r>
      <w:proofErr w:type="spellStart"/>
      <w:r w:rsidRPr="004D7C50">
        <w:rPr>
          <w:color w:val="FF0000"/>
          <w:lang w:eastAsia="en-US"/>
        </w:rPr>
        <w:t>ტონა</w:t>
      </w:r>
      <w:proofErr w:type="spellEnd"/>
      <w:r w:rsidRPr="004D7C50">
        <w:rPr>
          <w:color w:val="FF0000"/>
          <w:lang w:eastAsia="en-US"/>
        </w:rPr>
        <w:t xml:space="preserve"> 200 </w:t>
      </w:r>
      <w:proofErr w:type="spellStart"/>
      <w:r w:rsidRPr="004D7C50">
        <w:rPr>
          <w:color w:val="FF0000"/>
          <w:lang w:eastAsia="en-US"/>
        </w:rPr>
        <w:t>ლიტრიან</w:t>
      </w:r>
      <w:proofErr w:type="spellEnd"/>
      <w:r w:rsidRPr="004D7C50">
        <w:rPr>
          <w:color w:val="FF0000"/>
          <w:lang w:eastAsia="en-US"/>
        </w:rPr>
        <w:t xml:space="preserve"> </w:t>
      </w:r>
      <w:proofErr w:type="spellStart"/>
      <w:r w:rsidRPr="004D7C50">
        <w:rPr>
          <w:color w:val="FF0000"/>
          <w:lang w:eastAsia="en-US"/>
        </w:rPr>
        <w:t>კასრებში</w:t>
      </w:r>
      <w:proofErr w:type="spellEnd"/>
      <w:r w:rsidRPr="004D7C50">
        <w:rPr>
          <w:color w:val="FF0000"/>
          <w:lang w:eastAsia="en-US"/>
        </w:rPr>
        <w:t>.</w:t>
      </w:r>
    </w:p>
    <w:p w:rsidR="00786C9F" w:rsidRDefault="00786C9F" w:rsidP="00786C9F">
      <w:pPr>
        <w:rPr>
          <w:lang w:eastAsia="en-US"/>
        </w:rPr>
      </w:pPr>
    </w:p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მიღების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ტესტები</w:t>
      </w:r>
      <w:proofErr w:type="spellEnd"/>
      <w:r>
        <w:rPr>
          <w:lang w:eastAsia="en-US"/>
        </w:rPr>
        <w:t>:</w:t>
      </w:r>
    </w:p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შეძენილი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სურათების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გამოშვების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დასრულების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ეტაპზე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მიმწოდებელი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აცნობებს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გადაზიდვისთვის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მზადყოფნის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შესახებ</w:t>
      </w:r>
      <w:proofErr w:type="spellEnd"/>
      <w:r>
        <w:rPr>
          <w:lang w:eastAsia="en-US"/>
        </w:rPr>
        <w:t xml:space="preserve"> 7 </w:t>
      </w:r>
      <w:proofErr w:type="spellStart"/>
      <w:r>
        <w:rPr>
          <w:lang w:eastAsia="en-US"/>
        </w:rPr>
        <w:t>კალენდარული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დღით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ადრე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მომხმარებლის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მხრიდან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წარმომადგენელი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მიდის</w:t>
      </w:r>
      <w:proofErr w:type="spellEnd"/>
      <w:r>
        <w:rPr>
          <w:lang w:eastAsia="en-US"/>
        </w:rPr>
        <w:t xml:space="preserve"> </w:t>
      </w:r>
      <w:r w:rsidR="00B15491">
        <w:rPr>
          <w:lang w:val="ka-GE" w:eastAsia="en-US"/>
        </w:rPr>
        <w:t>ადგილზე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მიღების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ტესტების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ჩასატარებლად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შემდეგ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ფიზიკურ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ქიმიურ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პარამეტრებზე</w:t>
      </w:r>
      <w:proofErr w:type="spellEnd"/>
      <w:r>
        <w:rPr>
          <w:lang w:eastAsia="en-US"/>
        </w:rPr>
        <w:t>:</w:t>
      </w:r>
    </w:p>
    <w:p w:rsidR="00786C9F" w:rsidRDefault="00786C9F" w:rsidP="00786C9F">
      <w:pPr>
        <w:rPr>
          <w:lang w:eastAsia="en-US"/>
        </w:rPr>
      </w:pP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გარეგნობა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ხვედრითი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>* PH;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სიბლანტე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ზედაპირული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დაძაბულობა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გაყინვის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ტემპერატურა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გამოყენების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ყველაზე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დაბალი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ტემპერატურა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სიმრავლე</w:t>
      </w:r>
      <w:proofErr w:type="spellEnd"/>
      <w:r>
        <w:rPr>
          <w:lang w:eastAsia="en-US"/>
        </w:rPr>
        <w:t>;</w:t>
      </w:r>
      <w:bookmarkStart w:id="0" w:name="_GoBack"/>
      <w:bookmarkEnd w:id="0"/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მდგრადობა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წყალში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უხსნადი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წყალში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ხსნადი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აალებადი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სითხეების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ჩაქრობის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დროის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განსაზღვრა</w:t>
      </w:r>
      <w:proofErr w:type="spellEnd"/>
      <w:r>
        <w:rPr>
          <w:lang w:eastAsia="en-US"/>
        </w:rPr>
        <w:t>.</w:t>
      </w:r>
    </w:p>
    <w:p w:rsidR="00786C9F" w:rsidRDefault="00786C9F" w:rsidP="00786C9F">
      <w:pPr>
        <w:rPr>
          <w:lang w:eastAsia="en-US"/>
        </w:rPr>
      </w:pPr>
    </w:p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სინჯის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აღება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ხორციელდება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მომზადებული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პარტიიდან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მომხმარებლის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წარმომადგენლის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შეხედულებისამებრ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შერჩევის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დასრულების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შემდეგ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საარბიტრაჟო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ჩათვლით</w:t>
      </w:r>
      <w:proofErr w:type="spellEnd"/>
      <w:r>
        <w:rPr>
          <w:lang w:eastAsia="en-US"/>
        </w:rPr>
        <w:t xml:space="preserve">), </w:t>
      </w:r>
      <w:proofErr w:type="spellStart"/>
      <w:r>
        <w:rPr>
          <w:lang w:eastAsia="en-US"/>
        </w:rPr>
        <w:t>კონტეინერები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გადაზიდვისთვის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მზა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პარტიის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დალუქულია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მომხმარებლის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წარმომადგენლის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თანდასწრებით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მიმწოდებელი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ახორციელებს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ჩამოთვლილ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მიღების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ტესტებს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საკუთარ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ლაბორატორიაში</w:t>
      </w:r>
      <w:proofErr w:type="spellEnd"/>
      <w:r>
        <w:rPr>
          <w:lang w:eastAsia="en-US"/>
        </w:rPr>
        <w:t xml:space="preserve"> / </w:t>
      </w:r>
      <w:proofErr w:type="spellStart"/>
      <w:r>
        <w:rPr>
          <w:lang w:eastAsia="en-US"/>
        </w:rPr>
        <w:t>საცდელ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ადგილზე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ან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კონტრაქტორის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ლაბორატორიაში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მომხმარებლის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წარმომადგენლის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თანდასწრებით</w:t>
      </w:r>
      <w:proofErr w:type="spellEnd"/>
      <w:r>
        <w:rPr>
          <w:lang w:eastAsia="en-US"/>
        </w:rPr>
        <w:t>.</w:t>
      </w:r>
    </w:p>
    <w:p w:rsidR="00786C9F" w:rsidRDefault="00786C9F" w:rsidP="00786C9F">
      <w:pPr>
        <w:rPr>
          <w:lang w:eastAsia="en-US"/>
        </w:rPr>
      </w:pPr>
    </w:p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მიწოდების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პირობები</w:t>
      </w:r>
      <w:proofErr w:type="spellEnd"/>
      <w:r>
        <w:rPr>
          <w:lang w:eastAsia="en-US"/>
        </w:rPr>
        <w:t>:</w:t>
      </w:r>
    </w:p>
    <w:p w:rsidR="00786C9F" w:rsidRDefault="00786C9F" w:rsidP="00786C9F">
      <w:pPr>
        <w:rPr>
          <w:lang w:eastAsia="en-US"/>
        </w:rPr>
      </w:pPr>
    </w:p>
    <w:p w:rsidR="00786C9F" w:rsidRDefault="00786C9F" w:rsidP="00786C9F">
      <w:pPr>
        <w:rPr>
          <w:lang w:eastAsia="en-US"/>
        </w:rPr>
      </w:pP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მიწოდების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პაკეტი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უნდა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შეიცავდეს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დოკუმენტებს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პასპორტი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შენახვის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ტრანსპორტირებისა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გამოყენების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ინსტრუქცია</w:t>
      </w:r>
      <w:proofErr w:type="spellEnd"/>
      <w:r>
        <w:rPr>
          <w:lang w:eastAsia="en-US"/>
        </w:rPr>
        <w:t xml:space="preserve">), </w:t>
      </w:r>
      <w:proofErr w:type="spellStart"/>
      <w:r>
        <w:rPr>
          <w:lang w:eastAsia="en-US"/>
        </w:rPr>
        <w:t>რომელიც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შეიცავს</w:t>
      </w:r>
      <w:proofErr w:type="spellEnd"/>
      <w:r>
        <w:rPr>
          <w:lang w:eastAsia="en-US"/>
        </w:rPr>
        <w:t>:</w:t>
      </w:r>
    </w:p>
    <w:p w:rsidR="00786C9F" w:rsidRDefault="00786C9F" w:rsidP="00786C9F">
      <w:pPr>
        <w:rPr>
          <w:lang w:eastAsia="en-US"/>
        </w:rPr>
      </w:pP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lastRenderedPageBreak/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მწარმოებლის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დასახელება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მიმწოდებლის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დასახელება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სურათების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საიდენტიფიკაციო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ნომერი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მიწოდებული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რაოდენობა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დასახელება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სიმბოლო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კონცენტრაცია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სამუშაო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ხსნარში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წყალში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ხსნადი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წყალში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უხსნადი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აალებადი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სითხეების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ჩაქრობისას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მყარი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წვადი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მასალების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ქაფით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დასველებული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წყალხსნარით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ჩაქრობისას</w:t>
      </w:r>
      <w:proofErr w:type="spellEnd"/>
      <w:r>
        <w:rPr>
          <w:lang w:eastAsia="en-US"/>
        </w:rPr>
        <w:t>);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ქაფიანი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ტიპი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კლასი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ქიმიური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ბუნება</w:t>
      </w:r>
      <w:proofErr w:type="spellEnd"/>
      <w:r>
        <w:rPr>
          <w:lang w:eastAsia="en-US"/>
        </w:rPr>
        <w:t>.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ხარისხის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ფაქტობრივი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მაჩვენებლები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სერტიფიკატის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მიხედვით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მათი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შესაბამისობა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მწარმოებლის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მიერ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დადგენილ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მოთხოვნებთან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კონცენტრატთან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მუშაობის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წესები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მისი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განკარგვა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პერსონალის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უსაფრთხოებისა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გარემოს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დაცვის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უზრუნველყოფა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შენახვის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ტემპერატურული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დიაპაზონი</w:t>
      </w:r>
      <w:proofErr w:type="spellEnd"/>
      <w:r>
        <w:rPr>
          <w:lang w:eastAsia="en-US"/>
        </w:rPr>
        <w:t>;</w:t>
      </w:r>
    </w:p>
    <w:p w:rsidR="00786C9F" w:rsidRDefault="00786C9F" w:rsidP="00786C9F">
      <w:pPr>
        <w:rPr>
          <w:lang w:eastAsia="en-US"/>
        </w:rPr>
      </w:pPr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აგენტი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მიეკუთვნება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არა-ნიუტონის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სითხეებს</w:t>
      </w:r>
      <w:proofErr w:type="spellEnd"/>
      <w:r>
        <w:rPr>
          <w:lang w:eastAsia="en-US"/>
        </w:rPr>
        <w:t>;</w:t>
      </w:r>
    </w:p>
    <w:p w:rsidR="00E37551" w:rsidRPr="00786C9F" w:rsidRDefault="00786C9F" w:rsidP="00786C9F">
      <w:r>
        <w:rPr>
          <w:lang w:eastAsia="en-US"/>
        </w:rPr>
        <w:t xml:space="preserve">* </w:t>
      </w:r>
      <w:proofErr w:type="spellStart"/>
      <w:r>
        <w:rPr>
          <w:lang w:eastAsia="en-US"/>
        </w:rPr>
        <w:t>ქაფის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კონცენტრატის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გარანტირებული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შენახვის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ვადა</w:t>
      </w:r>
      <w:proofErr w:type="spellEnd"/>
      <w:r>
        <w:rPr>
          <w:lang w:eastAsia="en-US"/>
        </w:rPr>
        <w:t>.</w:t>
      </w:r>
    </w:p>
    <w:sectPr w:rsidR="00E37551" w:rsidRPr="0078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76"/>
    <w:rsid w:val="004D7C50"/>
    <w:rsid w:val="00786C9F"/>
    <w:rsid w:val="007B366D"/>
    <w:rsid w:val="00A00276"/>
    <w:rsid w:val="00B15491"/>
    <w:rsid w:val="00E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0289"/>
  <w15:chartTrackingRefBased/>
  <w15:docId w15:val="{94B91569-B31F-4658-97F3-9DC16372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6D"/>
    <w:pPr>
      <w:spacing w:after="0" w:line="240" w:lineRule="auto"/>
    </w:pPr>
    <w:rPr>
      <w:rFonts w:ascii="Calibri" w:hAnsi="Calibri" w:cs="Calibri"/>
      <w:lang w:eastAsia="ko-K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Tepania</dc:creator>
  <cp:keywords/>
  <dc:description/>
  <cp:lastModifiedBy>Nino Tepania</cp:lastModifiedBy>
  <cp:revision>7</cp:revision>
  <dcterms:created xsi:type="dcterms:W3CDTF">2023-09-26T10:05:00Z</dcterms:created>
  <dcterms:modified xsi:type="dcterms:W3CDTF">2023-09-26T10:19:00Z</dcterms:modified>
</cp:coreProperties>
</file>