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F0" w:rsidRPr="006646D9" w:rsidRDefault="00EA69BC" w:rsidP="00EA69BC">
      <w:pPr>
        <w:jc w:val="center"/>
        <w:rPr>
          <w:b/>
          <w:lang w:val="ka-GE"/>
        </w:rPr>
      </w:pPr>
      <w:r w:rsidRPr="006646D9">
        <w:rPr>
          <w:b/>
        </w:rPr>
        <w:t xml:space="preserve">GWP </w:t>
      </w:r>
      <w:r w:rsidRPr="006646D9">
        <w:rPr>
          <w:b/>
          <w:lang w:val="ka-GE"/>
        </w:rPr>
        <w:t>-ს აბონენტებისათვის წყალი/წყალარინების გაყვანილობის სადგარიდან ბინამდე მიყვანის მომსახურების ტექნიკური დავალება</w:t>
      </w:r>
    </w:p>
    <w:p w:rsidR="000D62F0" w:rsidRPr="006646D9" w:rsidRDefault="000D62F0" w:rsidP="00EA69BC">
      <w:pPr>
        <w:pStyle w:val="ListParagraph"/>
        <w:rPr>
          <w:lang w:val="ka-GE"/>
        </w:rPr>
      </w:pPr>
    </w:p>
    <w:p w:rsidR="000D62F0" w:rsidRPr="006646D9" w:rsidRDefault="00EA69BC" w:rsidP="00EA69BC">
      <w:pPr>
        <w:pStyle w:val="ListParagraph"/>
        <w:ind w:left="90"/>
        <w:rPr>
          <w:lang w:val="ka-GE"/>
        </w:rPr>
      </w:pPr>
      <w:r w:rsidRPr="006646D9">
        <w:t xml:space="preserve">GWP </w:t>
      </w:r>
      <w:r w:rsidRPr="006646D9">
        <w:rPr>
          <w:lang w:val="ka-GE"/>
        </w:rPr>
        <w:t xml:space="preserve">-ს აბონენტების მიერ საცხოვრებელი ფართების გაყოფის შემდეგ არსებობს შემთხვევები, რომლის დროსაც საჭიროა შემდეგი სამუშაოების ჩატარება: </w:t>
      </w:r>
    </w:p>
    <w:p w:rsidR="00EA69BC" w:rsidRPr="006646D9" w:rsidRDefault="00EA69BC" w:rsidP="004B1EAC">
      <w:pPr>
        <w:rPr>
          <w:lang w:val="ka-GE"/>
        </w:rPr>
      </w:pPr>
    </w:p>
    <w:p w:rsidR="00924DFE" w:rsidRPr="006646D9" w:rsidRDefault="00924DFE" w:rsidP="00924DFE">
      <w:pPr>
        <w:pStyle w:val="ListParagraph"/>
        <w:numPr>
          <w:ilvl w:val="0"/>
          <w:numId w:val="1"/>
        </w:numPr>
        <w:rPr>
          <w:lang w:val="ka-GE"/>
        </w:rPr>
      </w:pPr>
      <w:r w:rsidRPr="006646D9">
        <w:rPr>
          <w:lang w:val="ka-GE"/>
        </w:rPr>
        <w:t>სამუშაოების შესრულებისათვის საჭირო მასალების შესყიდვა</w:t>
      </w:r>
    </w:p>
    <w:p w:rsidR="000D62F0" w:rsidRPr="006646D9" w:rsidRDefault="00EA69BC" w:rsidP="000D62F0">
      <w:pPr>
        <w:pStyle w:val="ListParagraph"/>
        <w:numPr>
          <w:ilvl w:val="0"/>
          <w:numId w:val="1"/>
        </w:numPr>
        <w:rPr>
          <w:lang w:val="ka-GE"/>
        </w:rPr>
      </w:pPr>
      <w:r w:rsidRPr="006646D9">
        <w:rPr>
          <w:lang w:val="ka-GE"/>
        </w:rPr>
        <w:t>დგარის (</w:t>
      </w:r>
      <w:r w:rsidR="000D62F0" w:rsidRPr="006646D9">
        <w:rPr>
          <w:lang w:val="ka-GE"/>
        </w:rPr>
        <w:t>სტაიაკის</w:t>
      </w:r>
      <w:r w:rsidRPr="006646D9">
        <w:rPr>
          <w:lang w:val="ka-GE"/>
        </w:rPr>
        <w:t>)</w:t>
      </w:r>
      <w:r w:rsidR="000D62F0" w:rsidRPr="006646D9">
        <w:rPr>
          <w:lang w:val="ka-GE"/>
        </w:rPr>
        <w:t xml:space="preserve"> მოძებნა;</w:t>
      </w:r>
    </w:p>
    <w:p w:rsidR="000D62F0" w:rsidRPr="006646D9" w:rsidRDefault="000D62F0" w:rsidP="000D62F0">
      <w:pPr>
        <w:pStyle w:val="ListParagraph"/>
        <w:numPr>
          <w:ilvl w:val="0"/>
          <w:numId w:val="1"/>
        </w:numPr>
        <w:rPr>
          <w:lang w:val="ka-GE"/>
        </w:rPr>
      </w:pPr>
      <w:r w:rsidRPr="006646D9">
        <w:rPr>
          <w:lang w:val="ka-GE"/>
        </w:rPr>
        <w:t>შეჭრა</w:t>
      </w:r>
      <w:r w:rsidR="00EA69BC" w:rsidRPr="006646D9">
        <w:rPr>
          <w:lang w:val="ka-GE"/>
        </w:rPr>
        <w:t xml:space="preserve"> (</w:t>
      </w:r>
      <w:r w:rsidRPr="006646D9">
        <w:rPr>
          <w:lang w:val="ka-GE"/>
        </w:rPr>
        <w:t>მონგრევა)</w:t>
      </w:r>
      <w:r w:rsidR="00E5561F" w:rsidRPr="006646D9">
        <w:rPr>
          <w:lang w:val="ka-GE"/>
        </w:rPr>
        <w:t>;</w:t>
      </w:r>
    </w:p>
    <w:p w:rsidR="000D62F0" w:rsidRPr="006646D9" w:rsidRDefault="000D62F0" w:rsidP="000D62F0">
      <w:pPr>
        <w:pStyle w:val="ListParagraph"/>
        <w:numPr>
          <w:ilvl w:val="0"/>
          <w:numId w:val="1"/>
        </w:numPr>
        <w:rPr>
          <w:lang w:val="ka-GE"/>
        </w:rPr>
      </w:pPr>
      <w:r w:rsidRPr="006646D9">
        <w:rPr>
          <w:lang w:val="ka-GE"/>
        </w:rPr>
        <w:t>მილის გამოყვანა მრიცხეველის ადგილამდე;</w:t>
      </w:r>
    </w:p>
    <w:p w:rsidR="000D62F0" w:rsidRPr="006646D9" w:rsidRDefault="000D62F0" w:rsidP="000D62F0">
      <w:pPr>
        <w:pStyle w:val="ListParagraph"/>
        <w:numPr>
          <w:ilvl w:val="0"/>
          <w:numId w:val="1"/>
        </w:numPr>
        <w:rPr>
          <w:lang w:val="ka-GE"/>
        </w:rPr>
      </w:pPr>
      <w:r w:rsidRPr="006646D9">
        <w:rPr>
          <w:lang w:val="ka-GE"/>
        </w:rPr>
        <w:t>მრიცხველის მონტაჟი (ადგილის მოძებნა, შეთანხმება, ყუთის შეცვლა</w:t>
      </w:r>
      <w:r w:rsidR="00E5561F" w:rsidRPr="006646D9">
        <w:rPr>
          <w:lang w:val="ka-GE"/>
        </w:rPr>
        <w:t xml:space="preserve">, საჭიროების შემთხვევაში </w:t>
      </w:r>
      <w:r w:rsidRPr="006646D9">
        <w:rPr>
          <w:lang w:val="ka-GE"/>
        </w:rPr>
        <w:t>კარადის გაზრდა)</w:t>
      </w:r>
      <w:r w:rsidR="00E5561F" w:rsidRPr="006646D9">
        <w:rPr>
          <w:lang w:val="ka-GE"/>
        </w:rPr>
        <w:t>-</w:t>
      </w:r>
      <w:r w:rsidR="00EA69BC" w:rsidRPr="006646D9">
        <w:rPr>
          <w:lang w:val="ka-GE"/>
        </w:rPr>
        <w:t xml:space="preserve"> მრიცხველის მიწოდება, მოხდება </w:t>
      </w:r>
      <w:r w:rsidR="00EA69BC" w:rsidRPr="006646D9">
        <w:t xml:space="preserve">GWP- </w:t>
      </w:r>
      <w:r w:rsidR="00EA69BC" w:rsidRPr="006646D9">
        <w:rPr>
          <w:lang w:val="ka-GE"/>
        </w:rPr>
        <w:t>ის მიერ</w:t>
      </w:r>
      <w:r w:rsidR="00E5561F" w:rsidRPr="006646D9">
        <w:rPr>
          <w:lang w:val="ka-GE"/>
        </w:rPr>
        <w:t>;</w:t>
      </w:r>
    </w:p>
    <w:p w:rsidR="000D62F0" w:rsidRPr="006646D9" w:rsidRDefault="000D62F0" w:rsidP="000D62F0">
      <w:pPr>
        <w:pStyle w:val="ListParagraph"/>
        <w:numPr>
          <w:ilvl w:val="0"/>
          <w:numId w:val="1"/>
        </w:numPr>
        <w:rPr>
          <w:lang w:val="ka-GE"/>
        </w:rPr>
      </w:pPr>
      <w:r w:rsidRPr="006646D9">
        <w:rPr>
          <w:lang w:val="ka-GE"/>
        </w:rPr>
        <w:t>ჩამკე</w:t>
      </w:r>
      <w:r w:rsidR="00E5561F" w:rsidRPr="006646D9">
        <w:rPr>
          <w:lang w:val="ka-GE"/>
        </w:rPr>
        <w:t>ტ</w:t>
      </w:r>
      <w:r w:rsidRPr="006646D9">
        <w:rPr>
          <w:lang w:val="ka-GE"/>
        </w:rPr>
        <w:t>ის დაყენება;</w:t>
      </w:r>
    </w:p>
    <w:p w:rsidR="000D62F0" w:rsidRPr="006646D9" w:rsidRDefault="000D62F0" w:rsidP="000D62F0">
      <w:pPr>
        <w:pStyle w:val="ListParagraph"/>
        <w:numPr>
          <w:ilvl w:val="0"/>
          <w:numId w:val="1"/>
        </w:numPr>
        <w:rPr>
          <w:lang w:val="ka-GE"/>
        </w:rPr>
      </w:pPr>
      <w:r w:rsidRPr="006646D9">
        <w:rPr>
          <w:lang w:val="ka-GE"/>
        </w:rPr>
        <w:t>მრიცხველიდან ბინამდე მილის გაყვანა</w:t>
      </w:r>
      <w:r w:rsidR="00E5561F" w:rsidRPr="006646D9">
        <w:rPr>
          <w:lang w:val="ka-GE"/>
        </w:rPr>
        <w:t>;</w:t>
      </w:r>
    </w:p>
    <w:p w:rsidR="000D62F0" w:rsidRPr="006646D9" w:rsidRDefault="000D62F0" w:rsidP="000D62F0">
      <w:pPr>
        <w:pStyle w:val="ListParagraph"/>
        <w:numPr>
          <w:ilvl w:val="0"/>
          <w:numId w:val="1"/>
        </w:numPr>
        <w:rPr>
          <w:lang w:val="ka-GE"/>
        </w:rPr>
      </w:pPr>
      <w:r w:rsidRPr="006646D9">
        <w:rPr>
          <w:lang w:val="ka-GE"/>
        </w:rPr>
        <w:t>მიღება ჩაბარების აქტის გაფორმება მიერთების მსურველთან</w:t>
      </w:r>
      <w:r w:rsidR="00EA69BC" w:rsidRPr="006646D9">
        <w:rPr>
          <w:lang w:val="ka-GE"/>
        </w:rPr>
        <w:t xml:space="preserve"> და/ან</w:t>
      </w:r>
      <w:r w:rsidRPr="006646D9">
        <w:rPr>
          <w:lang w:val="ka-GE"/>
        </w:rPr>
        <w:t xml:space="preserve"> განმცხადებელთან</w:t>
      </w:r>
      <w:r w:rsidR="00924DFE" w:rsidRPr="006646D9">
        <w:rPr>
          <w:lang w:val="ka-GE"/>
        </w:rPr>
        <w:t>, სამუშაოების დასრულების შემდეგ</w:t>
      </w:r>
      <w:r w:rsidR="00256BA3" w:rsidRPr="006646D9">
        <w:rPr>
          <w:lang w:val="ka-GE"/>
        </w:rPr>
        <w:t>;</w:t>
      </w:r>
      <w:r w:rsidRPr="006646D9">
        <w:rPr>
          <w:lang w:val="ka-GE"/>
        </w:rPr>
        <w:t xml:space="preserve"> </w:t>
      </w:r>
    </w:p>
    <w:p w:rsidR="000D62F0" w:rsidRPr="006646D9" w:rsidRDefault="000D62F0" w:rsidP="000D62F0">
      <w:pPr>
        <w:pStyle w:val="ListParagraph"/>
        <w:numPr>
          <w:ilvl w:val="0"/>
          <w:numId w:val="1"/>
        </w:numPr>
        <w:rPr>
          <w:lang w:val="ka-GE"/>
        </w:rPr>
      </w:pPr>
      <w:r w:rsidRPr="006646D9">
        <w:rPr>
          <w:lang w:val="ka-GE"/>
        </w:rPr>
        <w:t xml:space="preserve">შესრულებულ სამუშაოები </w:t>
      </w:r>
      <w:r w:rsidR="00E5561F" w:rsidRPr="006646D9">
        <w:rPr>
          <w:lang w:val="ka-GE"/>
        </w:rPr>
        <w:t xml:space="preserve">1 წლიანი </w:t>
      </w:r>
      <w:r w:rsidRPr="006646D9">
        <w:rPr>
          <w:lang w:val="ka-GE"/>
        </w:rPr>
        <w:t>გარანტია</w:t>
      </w:r>
      <w:r w:rsidR="00E5561F" w:rsidRPr="006646D9">
        <w:rPr>
          <w:lang w:val="ka-GE"/>
        </w:rPr>
        <w:t xml:space="preserve"> </w:t>
      </w:r>
      <w:r w:rsidRPr="006646D9">
        <w:rPr>
          <w:lang w:val="ka-GE"/>
        </w:rPr>
        <w:t>(საშემსრულებლოს დაკავებით);</w:t>
      </w:r>
    </w:p>
    <w:p w:rsidR="000D62F0" w:rsidRPr="006646D9" w:rsidRDefault="000D62F0" w:rsidP="000D62F0">
      <w:pPr>
        <w:rPr>
          <w:lang w:val="ka-GE"/>
        </w:rPr>
      </w:pPr>
    </w:p>
    <w:p w:rsidR="00713082" w:rsidRPr="006646D9" w:rsidRDefault="00713082" w:rsidP="00E5561F">
      <w:pPr>
        <w:jc w:val="both"/>
        <w:rPr>
          <w:lang w:val="ka-GE"/>
        </w:rPr>
      </w:pPr>
      <w:r w:rsidRPr="006646D9">
        <w:rPr>
          <w:lang w:val="ka-GE"/>
        </w:rPr>
        <w:t xml:space="preserve">სამუშაოების დაწყებამდე საჭიროა </w:t>
      </w:r>
      <w:r w:rsidR="00E5561F" w:rsidRPr="006646D9">
        <w:rPr>
          <w:lang w:val="ka-GE"/>
        </w:rPr>
        <w:t>სქემატური ნახაზის</w:t>
      </w:r>
      <w:r w:rsidRPr="006646D9">
        <w:rPr>
          <w:lang w:val="ka-GE"/>
        </w:rPr>
        <w:t xml:space="preserve"> გაკეთება ბინამდე მისაყვანი წყალგაყვინელობისათვის და </w:t>
      </w:r>
      <w:r w:rsidR="00E5561F" w:rsidRPr="006646D9">
        <w:rPr>
          <w:lang w:val="ka-GE"/>
        </w:rPr>
        <w:t>აღნიშნული სქემის</w:t>
      </w:r>
      <w:r w:rsidRPr="006646D9">
        <w:rPr>
          <w:lang w:val="ka-GE"/>
        </w:rPr>
        <w:t xml:space="preserve"> შეთანხმება</w:t>
      </w:r>
      <w:r w:rsidR="00924DFE" w:rsidRPr="006646D9">
        <w:rPr>
          <w:lang w:val="ka-GE"/>
        </w:rPr>
        <w:t>,</w:t>
      </w:r>
      <w:r w:rsidR="00E5561F" w:rsidRPr="006646D9">
        <w:rPr>
          <w:lang w:val="ka-GE"/>
        </w:rPr>
        <w:t xml:space="preserve"> როგორც ადგილობრივ მაცხოვრებლებთან</w:t>
      </w:r>
      <w:r w:rsidR="00924DFE" w:rsidRPr="006646D9">
        <w:rPr>
          <w:lang w:val="ka-GE"/>
        </w:rPr>
        <w:t>,</w:t>
      </w:r>
      <w:r w:rsidR="00E5561F" w:rsidRPr="006646D9">
        <w:rPr>
          <w:lang w:val="ka-GE"/>
        </w:rPr>
        <w:t xml:space="preserve"> ასევე </w:t>
      </w:r>
      <w:r w:rsidRPr="006646D9">
        <w:rPr>
          <w:lang w:val="ka-GE"/>
        </w:rPr>
        <w:t>დამკვეთთან</w:t>
      </w:r>
      <w:r w:rsidR="00E5561F" w:rsidRPr="006646D9">
        <w:rPr>
          <w:lang w:val="ka-GE"/>
        </w:rPr>
        <w:t xml:space="preserve">. დამკვეთთან შეთანხმებისათვის გარდა სქემატური ნახაზისა, </w:t>
      </w:r>
      <w:r w:rsidR="00924DFE" w:rsidRPr="006646D9">
        <w:rPr>
          <w:lang w:val="ka-GE"/>
        </w:rPr>
        <w:t>კონტრაქტორს</w:t>
      </w:r>
      <w:r w:rsidR="00E5561F" w:rsidRPr="006646D9">
        <w:rPr>
          <w:lang w:val="ka-GE"/>
        </w:rPr>
        <w:t xml:space="preserve"> მოსამზადებელი ექნება</w:t>
      </w:r>
      <w:r w:rsidR="00924DFE" w:rsidRPr="006646D9">
        <w:rPr>
          <w:lang w:val="ka-GE"/>
        </w:rPr>
        <w:t xml:space="preserve"> შესაბამისი სამუშაოების ხარჯთაღრიცხვა. </w:t>
      </w:r>
      <w:r w:rsidRPr="006646D9">
        <w:rPr>
          <w:lang w:val="ka-GE"/>
        </w:rPr>
        <w:t xml:space="preserve"> </w:t>
      </w:r>
    </w:p>
    <w:p w:rsidR="00713082" w:rsidRPr="006646D9" w:rsidRDefault="00713082" w:rsidP="00E5561F">
      <w:pPr>
        <w:jc w:val="both"/>
        <w:rPr>
          <w:lang w:val="ka-GE"/>
        </w:rPr>
      </w:pPr>
    </w:p>
    <w:p w:rsidR="000D62F0" w:rsidRPr="006646D9" w:rsidRDefault="00EA69BC" w:rsidP="00E5561F">
      <w:pPr>
        <w:jc w:val="both"/>
        <w:rPr>
          <w:lang w:val="ka-GE"/>
        </w:rPr>
      </w:pPr>
      <w:r w:rsidRPr="006646D9">
        <w:rPr>
          <w:lang w:val="ka-GE"/>
        </w:rPr>
        <w:t>კონკრეტული დაკვეთისათვის შესაბამისი ხარჯთაღრივის მომზადებისათვის</w:t>
      </w:r>
      <w:r w:rsidR="004B1EAC" w:rsidRPr="006646D9">
        <w:t xml:space="preserve"> </w:t>
      </w:r>
      <w:r w:rsidR="004B1EAC" w:rsidRPr="006646D9">
        <w:rPr>
          <w:lang w:val="ka-GE"/>
        </w:rPr>
        <w:t>შემსრულებელმა უნდა გაითვალისწინოს შემდეგი ფაქტორები:</w:t>
      </w:r>
    </w:p>
    <w:p w:rsidR="004B1EAC" w:rsidRPr="006646D9" w:rsidRDefault="004B1EAC" w:rsidP="00E5561F">
      <w:pPr>
        <w:jc w:val="both"/>
        <w:rPr>
          <w:lang w:val="ka-GE"/>
        </w:rPr>
      </w:pPr>
    </w:p>
    <w:p w:rsidR="004B1EAC" w:rsidRPr="006646D9" w:rsidRDefault="004B1EAC" w:rsidP="00E5561F">
      <w:pPr>
        <w:jc w:val="both"/>
        <w:rPr>
          <w:lang w:val="ka-GE"/>
        </w:rPr>
      </w:pPr>
      <w:r w:rsidRPr="006646D9">
        <w:rPr>
          <w:lang w:val="ka-GE"/>
        </w:rPr>
        <w:t>1. გრძივი მეტრის გაყვანის სამუშაოები მოცემული უნდა იყოს ცალცალკე კედელზე, იატაკის ქვეშ, მილის გაყვანის შემთხვევაში ზემოდან, ფასში გათვალისწინებული უნდა იყოს იზოლაციია;</w:t>
      </w:r>
    </w:p>
    <w:p w:rsidR="000D62F0" w:rsidRPr="006646D9" w:rsidRDefault="004B1EAC" w:rsidP="00E5561F">
      <w:pPr>
        <w:jc w:val="both"/>
        <w:rPr>
          <w:lang w:val="ka-GE"/>
        </w:rPr>
      </w:pPr>
      <w:r w:rsidRPr="006646D9">
        <w:rPr>
          <w:lang w:val="ka-GE"/>
        </w:rPr>
        <w:t xml:space="preserve">2. ხარჯთარღიცხვაში წარმოდგენილი მასალების აღრიცხვა განხორციელდება ფაქტიური ხარჯის შესაბამისად. </w:t>
      </w:r>
    </w:p>
    <w:p w:rsidR="004B1EAC" w:rsidRPr="006646D9" w:rsidRDefault="004B1EAC" w:rsidP="00E5561F">
      <w:pPr>
        <w:jc w:val="both"/>
        <w:rPr>
          <w:lang w:val="ka-GE"/>
        </w:rPr>
      </w:pPr>
      <w:r w:rsidRPr="006646D9">
        <w:rPr>
          <w:lang w:val="ka-GE"/>
        </w:rPr>
        <w:t>ძირითადი მასალ</w:t>
      </w:r>
      <w:r w:rsidR="00924DFE" w:rsidRPr="006646D9">
        <w:rPr>
          <w:lang w:val="ka-GE"/>
        </w:rPr>
        <w:t>,</w:t>
      </w:r>
      <w:r w:rsidRPr="006646D9">
        <w:rPr>
          <w:lang w:val="ka-GE"/>
        </w:rPr>
        <w:t xml:space="preserve">ა რომელიც იქნება გამოსაყენებელი დაერთებისათვის არის 15-25 დიამეტრის  მილები, ხოლო წყალარინების შემთხვევისთვის 100 მმ დიამეტრის მილები. </w:t>
      </w:r>
    </w:p>
    <w:p w:rsidR="004B1EAC" w:rsidRPr="006646D9" w:rsidRDefault="004B1EAC" w:rsidP="00E5561F">
      <w:pPr>
        <w:jc w:val="both"/>
        <w:rPr>
          <w:lang w:val="ka-GE"/>
        </w:rPr>
      </w:pPr>
    </w:p>
    <w:p w:rsidR="000D62F0" w:rsidRPr="006646D9" w:rsidRDefault="00BA06B9" w:rsidP="00E5561F">
      <w:pPr>
        <w:jc w:val="both"/>
        <w:rPr>
          <w:lang w:val="ka-GE"/>
        </w:rPr>
      </w:pPr>
      <w:r w:rsidRPr="006646D9">
        <w:rPr>
          <w:lang w:val="ka-GE"/>
        </w:rPr>
        <w:t xml:space="preserve">სატენდერო წინადადებასთან ერთად, პრეტენდენტმა უნდა წარმოადგინოს ქვემოთ მოცემულ მისამართებზე შესაბამისი წყალარინებისა და წყალმომარაგების დაერთების სამუშაოების ჯამური ხარჯთაღრიცხვა, ზემოთ მითითებული პრონციპების დაცვით. პრეტენდენტმა ხარჯთაღრიცხვის წარდგენამდე  უნდა მოახდინოს სიტუაციის შესწავლა თითოეულ მისამართზე და მოამზადოს ხარჯთაღრიცხვა რეალური სიტუაციის გათვალისწინებით. </w:t>
      </w:r>
    </w:p>
    <w:p w:rsidR="00BA06B9" w:rsidRPr="006646D9" w:rsidRDefault="00BA06B9" w:rsidP="00E5561F">
      <w:pPr>
        <w:jc w:val="both"/>
        <w:rPr>
          <w:lang w:val="ka-GE"/>
        </w:rPr>
      </w:pPr>
    </w:p>
    <w:p w:rsidR="00BA06B9" w:rsidRPr="006646D9" w:rsidRDefault="00BA06B9" w:rsidP="00E5561F">
      <w:pPr>
        <w:jc w:val="both"/>
        <w:rPr>
          <w:lang w:val="ka-GE"/>
        </w:rPr>
      </w:pPr>
      <w:r w:rsidRPr="006646D9">
        <w:rPr>
          <w:lang w:val="ka-GE"/>
        </w:rPr>
        <w:t>პრეტენდენტებმა უნდა გაითვალისწინონ, რომ</w:t>
      </w:r>
      <w:r w:rsidRPr="006646D9">
        <w:t xml:space="preserve"> GWP -</w:t>
      </w:r>
      <w:r w:rsidRPr="006646D9">
        <w:rPr>
          <w:lang w:val="ka-GE"/>
        </w:rPr>
        <w:t>სთან გაფორმებული ხელშეკრულების ფარგლებში საკუთარი ვალდებულების აღსრულების პროცესში, მესამე მხარესთან ურთიერთობისა ის სრულად პასუხისმებეგელია როგორც სამუშაოების ხარისხიან შესრულებაზე, ასევე განმცხადებელთან და/ან მაცხოვრებლებთან კომუნიკაციაზე და სხვა შესაბამისი ქმედებებზე. გა</w:t>
      </w:r>
      <w:r w:rsidR="006646D9" w:rsidRPr="006646D9">
        <w:rPr>
          <w:lang w:val="ka-GE"/>
        </w:rPr>
        <w:t>რდა</w:t>
      </w:r>
      <w:r w:rsidRPr="006646D9">
        <w:rPr>
          <w:lang w:val="ka-GE"/>
        </w:rPr>
        <w:t xml:space="preserve"> ამისა, თავის კომპეტენციის დარგლებში, შემსრულებელი ვალდებულია არ მიაყენოს ზიანი </w:t>
      </w:r>
      <w:r w:rsidRPr="006646D9">
        <w:t>GWP-</w:t>
      </w:r>
      <w:r w:rsidRPr="006646D9">
        <w:rPr>
          <w:lang w:val="ka-GE"/>
        </w:rPr>
        <w:t>ს რეპუტაციას</w:t>
      </w:r>
      <w:r w:rsidR="006646D9" w:rsidRPr="006646D9">
        <w:rPr>
          <w:lang w:val="ka-GE"/>
        </w:rPr>
        <w:t xml:space="preserve"> და იმოქმედოს დადგენილი კანონმდებლობის ფარგლებში. </w:t>
      </w:r>
    </w:p>
    <w:p w:rsidR="00BA06B9" w:rsidRPr="006646D9" w:rsidRDefault="00BA06B9" w:rsidP="00E5561F">
      <w:pPr>
        <w:jc w:val="both"/>
        <w:rPr>
          <w:lang w:val="ka-GE"/>
        </w:rPr>
      </w:pPr>
    </w:p>
    <w:p w:rsidR="000D62F0" w:rsidRPr="006646D9" w:rsidRDefault="000D62F0" w:rsidP="00E5561F">
      <w:pPr>
        <w:jc w:val="both"/>
        <w:rPr>
          <w:lang w:val="ka-GE"/>
        </w:rPr>
      </w:pPr>
    </w:p>
    <w:tbl>
      <w:tblPr>
        <w:tblStyle w:val="TableGrid"/>
        <w:tblW w:w="10170" w:type="dxa"/>
        <w:tblInd w:w="85" w:type="dxa"/>
        <w:tblLayout w:type="fixed"/>
        <w:tblLook w:val="04A0" w:firstRow="1" w:lastRow="0" w:firstColumn="1" w:lastColumn="0" w:noHBand="0" w:noVBand="1"/>
      </w:tblPr>
      <w:tblGrid>
        <w:gridCol w:w="1890"/>
        <w:gridCol w:w="3060"/>
        <w:gridCol w:w="1710"/>
        <w:gridCol w:w="2070"/>
        <w:gridCol w:w="1440"/>
      </w:tblGrid>
      <w:tr w:rsidR="004B05F7" w:rsidRPr="006646D9" w:rsidTr="004B05F7">
        <w:trPr>
          <w:trHeight w:val="440"/>
        </w:trPr>
        <w:tc>
          <w:tcPr>
            <w:tcW w:w="1890" w:type="dxa"/>
            <w:noWrap/>
            <w:hideMark/>
          </w:tcPr>
          <w:p w:rsidR="004B05F7" w:rsidRPr="006646D9" w:rsidRDefault="004B05F7" w:rsidP="006646D9">
            <w:pPr>
              <w:jc w:val="center"/>
              <w:rPr>
                <w:b/>
                <w:sz w:val="18"/>
                <w:szCs w:val="18"/>
              </w:rPr>
            </w:pPr>
            <w:proofErr w:type="spellStart"/>
            <w:proofErr w:type="gramStart"/>
            <w:r w:rsidRPr="006646D9">
              <w:rPr>
                <w:b/>
                <w:sz w:val="18"/>
                <w:szCs w:val="18"/>
              </w:rPr>
              <w:lastRenderedPageBreak/>
              <w:t>განაცხ</w:t>
            </w:r>
            <w:proofErr w:type="spellEnd"/>
            <w:proofErr w:type="gramEnd"/>
            <w:r w:rsidRPr="006646D9">
              <w:rPr>
                <w:b/>
                <w:sz w:val="18"/>
                <w:szCs w:val="18"/>
              </w:rPr>
              <w:t xml:space="preserve">. </w:t>
            </w:r>
            <w:proofErr w:type="spellStart"/>
            <w:r w:rsidRPr="006646D9">
              <w:rPr>
                <w:b/>
                <w:sz w:val="18"/>
                <w:szCs w:val="18"/>
              </w:rPr>
              <w:t>ნომერი</w:t>
            </w:r>
            <w:proofErr w:type="spellEnd"/>
          </w:p>
        </w:tc>
        <w:tc>
          <w:tcPr>
            <w:tcW w:w="3060" w:type="dxa"/>
            <w:noWrap/>
            <w:hideMark/>
          </w:tcPr>
          <w:p w:rsidR="004B05F7" w:rsidRPr="006646D9" w:rsidRDefault="004B05F7" w:rsidP="006646D9">
            <w:pPr>
              <w:jc w:val="center"/>
              <w:rPr>
                <w:b/>
                <w:sz w:val="18"/>
                <w:szCs w:val="18"/>
              </w:rPr>
            </w:pPr>
            <w:proofErr w:type="spellStart"/>
            <w:r w:rsidRPr="006646D9">
              <w:rPr>
                <w:b/>
                <w:sz w:val="18"/>
                <w:szCs w:val="18"/>
              </w:rPr>
              <w:t>სტატუსი</w:t>
            </w:r>
            <w:proofErr w:type="spellEnd"/>
          </w:p>
        </w:tc>
        <w:tc>
          <w:tcPr>
            <w:tcW w:w="1710" w:type="dxa"/>
            <w:hideMark/>
          </w:tcPr>
          <w:p w:rsidR="004B05F7" w:rsidRPr="006646D9" w:rsidRDefault="004B05F7" w:rsidP="006646D9">
            <w:pPr>
              <w:jc w:val="center"/>
              <w:rPr>
                <w:b/>
                <w:sz w:val="18"/>
                <w:szCs w:val="18"/>
              </w:rPr>
            </w:pPr>
            <w:proofErr w:type="spellStart"/>
            <w:r w:rsidRPr="006646D9">
              <w:rPr>
                <w:b/>
                <w:sz w:val="18"/>
                <w:szCs w:val="18"/>
              </w:rPr>
              <w:t>წყალი</w:t>
            </w:r>
            <w:proofErr w:type="spellEnd"/>
            <w:r w:rsidRPr="006646D9">
              <w:rPr>
                <w:b/>
                <w:sz w:val="18"/>
                <w:szCs w:val="18"/>
              </w:rPr>
              <w:t xml:space="preserve">, </w:t>
            </w:r>
            <w:proofErr w:type="spellStart"/>
            <w:r w:rsidRPr="006646D9">
              <w:rPr>
                <w:b/>
                <w:sz w:val="18"/>
                <w:szCs w:val="18"/>
              </w:rPr>
              <w:t>მმ</w:t>
            </w:r>
            <w:proofErr w:type="spellEnd"/>
          </w:p>
        </w:tc>
        <w:tc>
          <w:tcPr>
            <w:tcW w:w="2070" w:type="dxa"/>
            <w:hideMark/>
          </w:tcPr>
          <w:p w:rsidR="004B05F7" w:rsidRPr="006646D9" w:rsidRDefault="004B05F7" w:rsidP="006646D9">
            <w:pPr>
              <w:ind w:right="-17"/>
              <w:jc w:val="center"/>
              <w:rPr>
                <w:b/>
                <w:sz w:val="18"/>
                <w:szCs w:val="18"/>
              </w:rPr>
            </w:pPr>
            <w:proofErr w:type="spellStart"/>
            <w:r w:rsidRPr="006646D9">
              <w:rPr>
                <w:b/>
                <w:sz w:val="18"/>
                <w:szCs w:val="18"/>
              </w:rPr>
              <w:t>წყალარინება</w:t>
            </w:r>
            <w:proofErr w:type="spellEnd"/>
            <w:r w:rsidRPr="006646D9">
              <w:rPr>
                <w:b/>
                <w:sz w:val="18"/>
                <w:szCs w:val="18"/>
              </w:rPr>
              <w:t xml:space="preserve">, </w:t>
            </w:r>
            <w:proofErr w:type="spellStart"/>
            <w:r w:rsidRPr="006646D9">
              <w:rPr>
                <w:b/>
                <w:sz w:val="18"/>
                <w:szCs w:val="18"/>
              </w:rPr>
              <w:t>მმ</w:t>
            </w:r>
            <w:proofErr w:type="spellEnd"/>
          </w:p>
        </w:tc>
        <w:tc>
          <w:tcPr>
            <w:tcW w:w="1440" w:type="dxa"/>
          </w:tcPr>
          <w:p w:rsidR="004B05F7" w:rsidRPr="004B05F7" w:rsidRDefault="004B05F7" w:rsidP="006646D9">
            <w:pPr>
              <w:ind w:right="-17"/>
              <w:jc w:val="center"/>
              <w:rPr>
                <w:b/>
                <w:sz w:val="18"/>
                <w:szCs w:val="18"/>
                <w:lang w:val="ka-GE"/>
              </w:rPr>
            </w:pPr>
            <w:r>
              <w:rPr>
                <w:b/>
                <w:sz w:val="18"/>
                <w:szCs w:val="18"/>
                <w:lang w:val="ka-GE"/>
              </w:rPr>
              <w:t>შესრულების ვადა</w:t>
            </w:r>
          </w:p>
        </w:tc>
      </w:tr>
      <w:tr w:rsidR="004B05F7" w:rsidRPr="006646D9" w:rsidTr="004B05F7">
        <w:trPr>
          <w:trHeight w:val="170"/>
        </w:trPr>
        <w:tc>
          <w:tcPr>
            <w:tcW w:w="1890" w:type="dxa"/>
            <w:noWrap/>
            <w:hideMark/>
          </w:tcPr>
          <w:p w:rsidR="004B05F7" w:rsidRPr="006646D9" w:rsidRDefault="004B05F7" w:rsidP="006646D9">
            <w:pPr>
              <w:rPr>
                <w:sz w:val="18"/>
                <w:szCs w:val="18"/>
              </w:rPr>
            </w:pPr>
            <w:r w:rsidRPr="006646D9">
              <w:rPr>
                <w:sz w:val="18"/>
                <w:szCs w:val="18"/>
              </w:rPr>
              <w:t>IN24-0954120</w:t>
            </w:r>
          </w:p>
        </w:tc>
        <w:tc>
          <w:tcPr>
            <w:tcW w:w="3060" w:type="dxa"/>
            <w:noWrap/>
            <w:hideMark/>
          </w:tcPr>
          <w:p w:rsidR="004B05F7" w:rsidRPr="006646D9" w:rsidRDefault="004B05F7" w:rsidP="006646D9">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6646D9">
            <w:pPr>
              <w:rPr>
                <w:sz w:val="18"/>
                <w:szCs w:val="18"/>
              </w:rPr>
            </w:pPr>
            <w:r w:rsidRPr="006646D9">
              <w:rPr>
                <w:sz w:val="18"/>
                <w:szCs w:val="18"/>
              </w:rPr>
              <w:t>20</w:t>
            </w:r>
          </w:p>
        </w:tc>
        <w:tc>
          <w:tcPr>
            <w:tcW w:w="2070" w:type="dxa"/>
            <w:noWrap/>
            <w:hideMark/>
          </w:tcPr>
          <w:p w:rsidR="004B05F7" w:rsidRPr="006646D9" w:rsidRDefault="004B05F7" w:rsidP="006646D9">
            <w:pPr>
              <w:ind w:right="759"/>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33"/>
        </w:trPr>
        <w:tc>
          <w:tcPr>
            <w:tcW w:w="1890" w:type="dxa"/>
            <w:noWrap/>
            <w:hideMark/>
          </w:tcPr>
          <w:p w:rsidR="004B05F7" w:rsidRPr="006646D9" w:rsidRDefault="004B05F7" w:rsidP="004B05F7">
            <w:pPr>
              <w:rPr>
                <w:sz w:val="18"/>
                <w:szCs w:val="18"/>
              </w:rPr>
            </w:pPr>
            <w:bookmarkStart w:id="0" w:name="_GoBack" w:colFirst="4" w:colLast="4"/>
            <w:r w:rsidRPr="006646D9">
              <w:rPr>
                <w:sz w:val="18"/>
                <w:szCs w:val="18"/>
              </w:rPr>
              <w:t>IN24-0949975</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43"/>
        </w:trPr>
        <w:tc>
          <w:tcPr>
            <w:tcW w:w="1890" w:type="dxa"/>
            <w:noWrap/>
            <w:hideMark/>
          </w:tcPr>
          <w:p w:rsidR="004B05F7" w:rsidRPr="006646D9" w:rsidRDefault="004B05F7" w:rsidP="004B05F7">
            <w:pPr>
              <w:rPr>
                <w:sz w:val="18"/>
                <w:szCs w:val="18"/>
              </w:rPr>
            </w:pPr>
            <w:r w:rsidRPr="006646D9">
              <w:rPr>
                <w:sz w:val="18"/>
                <w:szCs w:val="18"/>
              </w:rPr>
              <w:t>IN24-0950032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88"/>
        </w:trPr>
        <w:tc>
          <w:tcPr>
            <w:tcW w:w="1890" w:type="dxa"/>
            <w:noWrap/>
            <w:hideMark/>
          </w:tcPr>
          <w:p w:rsidR="004B05F7" w:rsidRPr="006646D9" w:rsidRDefault="004B05F7" w:rsidP="004B05F7">
            <w:pPr>
              <w:rPr>
                <w:sz w:val="18"/>
                <w:szCs w:val="18"/>
              </w:rPr>
            </w:pPr>
            <w:r w:rsidRPr="006646D9">
              <w:rPr>
                <w:sz w:val="18"/>
                <w:szCs w:val="18"/>
              </w:rPr>
              <w:t>IN24-0948696</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33"/>
        </w:trPr>
        <w:tc>
          <w:tcPr>
            <w:tcW w:w="1890" w:type="dxa"/>
            <w:noWrap/>
            <w:hideMark/>
          </w:tcPr>
          <w:p w:rsidR="004B05F7" w:rsidRPr="006646D9" w:rsidRDefault="004B05F7" w:rsidP="004B05F7">
            <w:pPr>
              <w:rPr>
                <w:sz w:val="18"/>
                <w:szCs w:val="18"/>
              </w:rPr>
            </w:pPr>
            <w:r w:rsidRPr="006646D9">
              <w:rPr>
                <w:sz w:val="18"/>
                <w:szCs w:val="18"/>
              </w:rPr>
              <w:t>IN24-0948695</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61"/>
        </w:trPr>
        <w:tc>
          <w:tcPr>
            <w:tcW w:w="1890" w:type="dxa"/>
            <w:noWrap/>
            <w:hideMark/>
          </w:tcPr>
          <w:p w:rsidR="004B05F7" w:rsidRPr="006646D9" w:rsidRDefault="004B05F7" w:rsidP="004B05F7">
            <w:pPr>
              <w:rPr>
                <w:sz w:val="18"/>
                <w:szCs w:val="18"/>
              </w:rPr>
            </w:pPr>
            <w:r w:rsidRPr="006646D9">
              <w:rPr>
                <w:sz w:val="18"/>
                <w:szCs w:val="18"/>
              </w:rPr>
              <w:t>IN24-0945506</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IN24-0944675</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32</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IN24-0944101</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IN24-0942810</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IN24-0940825</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IN24-0940422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IN24-0938507</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15"/>
        </w:trPr>
        <w:tc>
          <w:tcPr>
            <w:tcW w:w="1890" w:type="dxa"/>
            <w:noWrap/>
            <w:hideMark/>
          </w:tcPr>
          <w:p w:rsidR="004B05F7" w:rsidRPr="006646D9" w:rsidRDefault="004B05F7" w:rsidP="004B05F7">
            <w:pPr>
              <w:rPr>
                <w:sz w:val="18"/>
                <w:szCs w:val="18"/>
              </w:rPr>
            </w:pPr>
            <w:r w:rsidRPr="006646D9">
              <w:rPr>
                <w:sz w:val="18"/>
                <w:szCs w:val="18"/>
              </w:rPr>
              <w:t>IN24-0937400</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88"/>
        </w:trPr>
        <w:tc>
          <w:tcPr>
            <w:tcW w:w="1890" w:type="dxa"/>
            <w:noWrap/>
            <w:hideMark/>
          </w:tcPr>
          <w:p w:rsidR="004B05F7" w:rsidRPr="006646D9" w:rsidRDefault="004B05F7" w:rsidP="004B05F7">
            <w:pPr>
              <w:rPr>
                <w:sz w:val="18"/>
                <w:szCs w:val="18"/>
              </w:rPr>
            </w:pPr>
            <w:r w:rsidRPr="006646D9">
              <w:rPr>
                <w:sz w:val="18"/>
                <w:szCs w:val="18"/>
              </w:rPr>
              <w:t>IN24-0937062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51"/>
        </w:trPr>
        <w:tc>
          <w:tcPr>
            <w:tcW w:w="1890" w:type="dxa"/>
            <w:noWrap/>
            <w:hideMark/>
          </w:tcPr>
          <w:p w:rsidR="004B05F7" w:rsidRPr="006646D9" w:rsidRDefault="004B05F7" w:rsidP="004B05F7">
            <w:pPr>
              <w:rPr>
                <w:sz w:val="18"/>
                <w:szCs w:val="18"/>
              </w:rPr>
            </w:pPr>
            <w:r w:rsidRPr="006646D9">
              <w:rPr>
                <w:sz w:val="18"/>
                <w:szCs w:val="18"/>
              </w:rPr>
              <w:t>IN24-0936335</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24"/>
        </w:trPr>
        <w:tc>
          <w:tcPr>
            <w:tcW w:w="1890" w:type="dxa"/>
            <w:noWrap/>
            <w:hideMark/>
          </w:tcPr>
          <w:p w:rsidR="004B05F7" w:rsidRPr="006646D9" w:rsidRDefault="004B05F7" w:rsidP="004B05F7">
            <w:pPr>
              <w:rPr>
                <w:sz w:val="18"/>
                <w:szCs w:val="18"/>
              </w:rPr>
            </w:pPr>
            <w:r w:rsidRPr="006646D9">
              <w:rPr>
                <w:sz w:val="18"/>
                <w:szCs w:val="18"/>
              </w:rPr>
              <w:t>IN24-0935940</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97"/>
        </w:trPr>
        <w:tc>
          <w:tcPr>
            <w:tcW w:w="1890" w:type="dxa"/>
            <w:noWrap/>
            <w:hideMark/>
          </w:tcPr>
          <w:p w:rsidR="004B05F7" w:rsidRPr="006646D9" w:rsidRDefault="004B05F7" w:rsidP="004B05F7">
            <w:pPr>
              <w:rPr>
                <w:sz w:val="18"/>
                <w:szCs w:val="18"/>
              </w:rPr>
            </w:pPr>
            <w:r w:rsidRPr="006646D9">
              <w:rPr>
                <w:sz w:val="18"/>
                <w:szCs w:val="18"/>
              </w:rPr>
              <w:t>IN24-0933258</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24"/>
        </w:trPr>
        <w:tc>
          <w:tcPr>
            <w:tcW w:w="1890" w:type="dxa"/>
            <w:noWrap/>
            <w:hideMark/>
          </w:tcPr>
          <w:p w:rsidR="004B05F7" w:rsidRPr="006646D9" w:rsidRDefault="004B05F7" w:rsidP="004B05F7">
            <w:pPr>
              <w:rPr>
                <w:sz w:val="18"/>
                <w:szCs w:val="18"/>
              </w:rPr>
            </w:pPr>
            <w:r w:rsidRPr="006646D9">
              <w:rPr>
                <w:sz w:val="18"/>
                <w:szCs w:val="18"/>
              </w:rPr>
              <w:t>IN24-0932722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70"/>
        </w:trPr>
        <w:tc>
          <w:tcPr>
            <w:tcW w:w="1890" w:type="dxa"/>
            <w:noWrap/>
            <w:hideMark/>
          </w:tcPr>
          <w:p w:rsidR="004B05F7" w:rsidRPr="006646D9" w:rsidRDefault="004B05F7" w:rsidP="004B05F7">
            <w:pPr>
              <w:rPr>
                <w:sz w:val="18"/>
                <w:szCs w:val="18"/>
              </w:rPr>
            </w:pPr>
            <w:r w:rsidRPr="006646D9">
              <w:rPr>
                <w:sz w:val="18"/>
                <w:szCs w:val="18"/>
              </w:rPr>
              <w:t>IN24-0924662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15"/>
        </w:trPr>
        <w:tc>
          <w:tcPr>
            <w:tcW w:w="1890" w:type="dxa"/>
            <w:noWrap/>
            <w:hideMark/>
          </w:tcPr>
          <w:p w:rsidR="004B05F7" w:rsidRPr="006646D9" w:rsidRDefault="004B05F7" w:rsidP="004B05F7">
            <w:pPr>
              <w:rPr>
                <w:sz w:val="18"/>
                <w:szCs w:val="18"/>
              </w:rPr>
            </w:pPr>
            <w:r w:rsidRPr="006646D9">
              <w:rPr>
                <w:sz w:val="18"/>
                <w:szCs w:val="18"/>
              </w:rPr>
              <w:t>IN24-0921350</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51"/>
        </w:trPr>
        <w:tc>
          <w:tcPr>
            <w:tcW w:w="1890" w:type="dxa"/>
            <w:noWrap/>
            <w:hideMark/>
          </w:tcPr>
          <w:p w:rsidR="004B05F7" w:rsidRPr="006646D9" w:rsidRDefault="004B05F7" w:rsidP="004B05F7">
            <w:pPr>
              <w:rPr>
                <w:sz w:val="18"/>
                <w:szCs w:val="18"/>
              </w:rPr>
            </w:pPr>
            <w:r w:rsidRPr="006646D9">
              <w:rPr>
                <w:sz w:val="18"/>
                <w:szCs w:val="18"/>
              </w:rPr>
              <w:t>IN24-0920652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70"/>
        </w:trPr>
        <w:tc>
          <w:tcPr>
            <w:tcW w:w="1890" w:type="dxa"/>
            <w:noWrap/>
            <w:hideMark/>
          </w:tcPr>
          <w:p w:rsidR="004B05F7" w:rsidRPr="006646D9" w:rsidRDefault="004B05F7" w:rsidP="004B05F7">
            <w:pPr>
              <w:rPr>
                <w:sz w:val="18"/>
                <w:szCs w:val="18"/>
              </w:rPr>
            </w:pPr>
            <w:r w:rsidRPr="006646D9">
              <w:rPr>
                <w:sz w:val="18"/>
                <w:szCs w:val="18"/>
              </w:rPr>
              <w:t>IN24-0917469</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15"/>
        </w:trPr>
        <w:tc>
          <w:tcPr>
            <w:tcW w:w="1890" w:type="dxa"/>
            <w:noWrap/>
            <w:hideMark/>
          </w:tcPr>
          <w:p w:rsidR="004B05F7" w:rsidRPr="006646D9" w:rsidRDefault="004B05F7" w:rsidP="004B05F7">
            <w:pPr>
              <w:rPr>
                <w:sz w:val="18"/>
                <w:szCs w:val="18"/>
              </w:rPr>
            </w:pPr>
            <w:r w:rsidRPr="006646D9">
              <w:rPr>
                <w:sz w:val="18"/>
                <w:szCs w:val="18"/>
              </w:rPr>
              <w:t>IN24-0917297</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51"/>
        </w:trPr>
        <w:tc>
          <w:tcPr>
            <w:tcW w:w="1890" w:type="dxa"/>
            <w:noWrap/>
            <w:hideMark/>
          </w:tcPr>
          <w:p w:rsidR="004B05F7" w:rsidRPr="006646D9" w:rsidRDefault="004B05F7" w:rsidP="004B05F7">
            <w:pPr>
              <w:rPr>
                <w:sz w:val="18"/>
                <w:szCs w:val="18"/>
              </w:rPr>
            </w:pPr>
            <w:r w:rsidRPr="006646D9">
              <w:rPr>
                <w:sz w:val="18"/>
                <w:szCs w:val="18"/>
              </w:rPr>
              <w:t>IN24-0916263</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60"/>
        </w:trPr>
        <w:tc>
          <w:tcPr>
            <w:tcW w:w="1890" w:type="dxa"/>
            <w:noWrap/>
            <w:hideMark/>
          </w:tcPr>
          <w:p w:rsidR="004B05F7" w:rsidRPr="006646D9" w:rsidRDefault="004B05F7" w:rsidP="004B05F7">
            <w:pPr>
              <w:rPr>
                <w:sz w:val="18"/>
                <w:szCs w:val="18"/>
              </w:rPr>
            </w:pPr>
            <w:r w:rsidRPr="006646D9">
              <w:rPr>
                <w:sz w:val="18"/>
                <w:szCs w:val="18"/>
              </w:rPr>
              <w:t>IN24-0913823</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170"/>
        </w:trPr>
        <w:tc>
          <w:tcPr>
            <w:tcW w:w="1890" w:type="dxa"/>
            <w:noWrap/>
            <w:hideMark/>
          </w:tcPr>
          <w:p w:rsidR="004B05F7" w:rsidRPr="006646D9" w:rsidRDefault="004B05F7" w:rsidP="004B05F7">
            <w:pPr>
              <w:rPr>
                <w:sz w:val="18"/>
                <w:szCs w:val="18"/>
              </w:rPr>
            </w:pPr>
            <w:r w:rsidRPr="006646D9">
              <w:rPr>
                <w:sz w:val="18"/>
                <w:szCs w:val="18"/>
              </w:rPr>
              <w:t>IN24-0911086</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06"/>
        </w:trPr>
        <w:tc>
          <w:tcPr>
            <w:tcW w:w="1890" w:type="dxa"/>
            <w:noWrap/>
            <w:hideMark/>
          </w:tcPr>
          <w:p w:rsidR="004B05F7" w:rsidRPr="006646D9" w:rsidRDefault="004B05F7" w:rsidP="004B05F7">
            <w:pPr>
              <w:rPr>
                <w:sz w:val="18"/>
                <w:szCs w:val="18"/>
              </w:rPr>
            </w:pPr>
            <w:r w:rsidRPr="006646D9">
              <w:rPr>
                <w:sz w:val="18"/>
                <w:szCs w:val="18"/>
              </w:rPr>
              <w:t>IN24-0911058</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51"/>
        </w:trPr>
        <w:tc>
          <w:tcPr>
            <w:tcW w:w="1890" w:type="dxa"/>
            <w:noWrap/>
            <w:hideMark/>
          </w:tcPr>
          <w:p w:rsidR="004B05F7" w:rsidRPr="006646D9" w:rsidRDefault="004B05F7" w:rsidP="004B05F7">
            <w:pPr>
              <w:rPr>
                <w:sz w:val="18"/>
                <w:szCs w:val="18"/>
              </w:rPr>
            </w:pPr>
            <w:r w:rsidRPr="006646D9">
              <w:rPr>
                <w:sz w:val="18"/>
                <w:szCs w:val="18"/>
              </w:rPr>
              <w:t>IN24-0910279</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42"/>
        </w:trPr>
        <w:tc>
          <w:tcPr>
            <w:tcW w:w="1890" w:type="dxa"/>
            <w:noWrap/>
            <w:hideMark/>
          </w:tcPr>
          <w:p w:rsidR="004B05F7" w:rsidRPr="006646D9" w:rsidRDefault="004B05F7" w:rsidP="004B05F7">
            <w:pPr>
              <w:rPr>
                <w:sz w:val="18"/>
                <w:szCs w:val="18"/>
              </w:rPr>
            </w:pPr>
            <w:r w:rsidRPr="006646D9">
              <w:rPr>
                <w:sz w:val="18"/>
                <w:szCs w:val="18"/>
              </w:rPr>
              <w:t>IN24-0905997</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51"/>
        </w:trPr>
        <w:tc>
          <w:tcPr>
            <w:tcW w:w="1890" w:type="dxa"/>
            <w:noWrap/>
            <w:hideMark/>
          </w:tcPr>
          <w:p w:rsidR="004B05F7" w:rsidRPr="006646D9" w:rsidRDefault="004B05F7" w:rsidP="004B05F7">
            <w:pPr>
              <w:rPr>
                <w:sz w:val="18"/>
                <w:szCs w:val="18"/>
              </w:rPr>
            </w:pPr>
            <w:r w:rsidRPr="006646D9">
              <w:rPr>
                <w:sz w:val="18"/>
                <w:szCs w:val="18"/>
              </w:rPr>
              <w:t>IN24-0904728</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60"/>
        </w:trPr>
        <w:tc>
          <w:tcPr>
            <w:tcW w:w="1890" w:type="dxa"/>
            <w:noWrap/>
            <w:hideMark/>
          </w:tcPr>
          <w:p w:rsidR="004B05F7" w:rsidRPr="006646D9" w:rsidRDefault="004B05F7" w:rsidP="004B05F7">
            <w:pPr>
              <w:rPr>
                <w:sz w:val="18"/>
                <w:szCs w:val="18"/>
              </w:rPr>
            </w:pPr>
            <w:r w:rsidRPr="006646D9">
              <w:rPr>
                <w:sz w:val="18"/>
                <w:szCs w:val="18"/>
              </w:rPr>
              <w:t>IN24-0904282</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25</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69"/>
        </w:trPr>
        <w:tc>
          <w:tcPr>
            <w:tcW w:w="1890" w:type="dxa"/>
            <w:noWrap/>
            <w:hideMark/>
          </w:tcPr>
          <w:p w:rsidR="004B05F7" w:rsidRPr="006646D9" w:rsidRDefault="004B05F7" w:rsidP="004B05F7">
            <w:pPr>
              <w:rPr>
                <w:sz w:val="18"/>
                <w:szCs w:val="18"/>
              </w:rPr>
            </w:pPr>
            <w:r w:rsidRPr="006646D9">
              <w:rPr>
                <w:sz w:val="18"/>
                <w:szCs w:val="18"/>
              </w:rPr>
              <w:t>IN24-0903627</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51"/>
        </w:trPr>
        <w:tc>
          <w:tcPr>
            <w:tcW w:w="1890" w:type="dxa"/>
            <w:noWrap/>
            <w:hideMark/>
          </w:tcPr>
          <w:p w:rsidR="004B05F7" w:rsidRPr="006646D9" w:rsidRDefault="004B05F7" w:rsidP="004B05F7">
            <w:pPr>
              <w:rPr>
                <w:sz w:val="18"/>
                <w:szCs w:val="18"/>
              </w:rPr>
            </w:pPr>
            <w:r w:rsidRPr="006646D9">
              <w:rPr>
                <w:sz w:val="18"/>
                <w:szCs w:val="18"/>
              </w:rPr>
              <w:t>IN24-0901381</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IN24-0899200</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IN24-0947877</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IN24-0958529</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tr w:rsidR="004B05F7" w:rsidRPr="006646D9" w:rsidTr="004B05F7">
        <w:trPr>
          <w:trHeight w:val="288"/>
        </w:trPr>
        <w:tc>
          <w:tcPr>
            <w:tcW w:w="1890" w:type="dxa"/>
            <w:noWrap/>
            <w:hideMark/>
          </w:tcPr>
          <w:p w:rsidR="004B05F7" w:rsidRPr="006646D9" w:rsidRDefault="004B05F7" w:rsidP="004B05F7">
            <w:pPr>
              <w:rPr>
                <w:sz w:val="18"/>
                <w:szCs w:val="18"/>
              </w:rPr>
            </w:pPr>
            <w:r w:rsidRPr="006646D9">
              <w:rPr>
                <w:sz w:val="18"/>
                <w:szCs w:val="18"/>
              </w:rPr>
              <w:t>IN24-0956291</w:t>
            </w:r>
          </w:p>
        </w:tc>
        <w:tc>
          <w:tcPr>
            <w:tcW w:w="3060" w:type="dxa"/>
            <w:noWrap/>
            <w:hideMark/>
          </w:tcPr>
          <w:p w:rsidR="004B05F7" w:rsidRPr="006646D9" w:rsidRDefault="004B05F7" w:rsidP="004B05F7">
            <w:pPr>
              <w:rPr>
                <w:sz w:val="18"/>
                <w:szCs w:val="18"/>
              </w:rPr>
            </w:pPr>
            <w:proofErr w:type="spellStart"/>
            <w:r w:rsidRPr="006646D9">
              <w:rPr>
                <w:sz w:val="18"/>
                <w:szCs w:val="18"/>
              </w:rPr>
              <w:t>შიდა</w:t>
            </w:r>
            <w:proofErr w:type="spellEnd"/>
            <w:r w:rsidRPr="006646D9">
              <w:rPr>
                <w:sz w:val="18"/>
                <w:szCs w:val="18"/>
              </w:rPr>
              <w:t xml:space="preserve"> </w:t>
            </w:r>
            <w:proofErr w:type="spellStart"/>
            <w:r w:rsidRPr="006646D9">
              <w:rPr>
                <w:sz w:val="18"/>
                <w:szCs w:val="18"/>
              </w:rPr>
              <w:t>ქსელის</w:t>
            </w:r>
            <w:proofErr w:type="spellEnd"/>
            <w:r w:rsidRPr="006646D9">
              <w:rPr>
                <w:sz w:val="18"/>
                <w:szCs w:val="18"/>
              </w:rPr>
              <w:t xml:space="preserve"> </w:t>
            </w:r>
            <w:proofErr w:type="spellStart"/>
            <w:r w:rsidRPr="006646D9">
              <w:rPr>
                <w:sz w:val="18"/>
                <w:szCs w:val="18"/>
              </w:rPr>
              <w:t>პრობლემა</w:t>
            </w:r>
            <w:proofErr w:type="spellEnd"/>
          </w:p>
        </w:tc>
        <w:tc>
          <w:tcPr>
            <w:tcW w:w="1710" w:type="dxa"/>
            <w:noWrap/>
            <w:hideMark/>
          </w:tcPr>
          <w:p w:rsidR="004B05F7" w:rsidRPr="006646D9" w:rsidRDefault="004B05F7" w:rsidP="004B05F7">
            <w:pPr>
              <w:rPr>
                <w:sz w:val="18"/>
                <w:szCs w:val="18"/>
              </w:rPr>
            </w:pPr>
            <w:r w:rsidRPr="006646D9">
              <w:rPr>
                <w:sz w:val="18"/>
                <w:szCs w:val="18"/>
              </w:rPr>
              <w:t>20</w:t>
            </w:r>
          </w:p>
        </w:tc>
        <w:tc>
          <w:tcPr>
            <w:tcW w:w="2070" w:type="dxa"/>
            <w:noWrap/>
            <w:hideMark/>
          </w:tcPr>
          <w:p w:rsidR="004B05F7" w:rsidRPr="006646D9" w:rsidRDefault="004B05F7" w:rsidP="004B05F7">
            <w:pPr>
              <w:rPr>
                <w:sz w:val="18"/>
                <w:szCs w:val="18"/>
              </w:rPr>
            </w:pPr>
            <w:r w:rsidRPr="006646D9">
              <w:rPr>
                <w:sz w:val="18"/>
                <w:szCs w:val="18"/>
              </w:rPr>
              <w:t>100</w:t>
            </w:r>
          </w:p>
        </w:tc>
        <w:tc>
          <w:tcPr>
            <w:tcW w:w="1440" w:type="dxa"/>
          </w:tcPr>
          <w:p w:rsidR="004B05F7" w:rsidRPr="004B05F7" w:rsidRDefault="004B05F7" w:rsidP="004B05F7">
            <w:pPr>
              <w:ind w:right="-111"/>
              <w:rPr>
                <w:sz w:val="18"/>
                <w:szCs w:val="18"/>
                <w:lang w:val="ka-GE"/>
              </w:rPr>
            </w:pPr>
            <w:r>
              <w:rPr>
                <w:sz w:val="18"/>
                <w:szCs w:val="18"/>
                <w:lang w:val="ka-GE"/>
              </w:rPr>
              <w:t>10 სამუშაო დღე</w:t>
            </w:r>
          </w:p>
        </w:tc>
      </w:tr>
      <w:bookmarkEnd w:id="0"/>
    </w:tbl>
    <w:p w:rsidR="00CE20E6" w:rsidRPr="004B05F7" w:rsidRDefault="004B05F7">
      <w:pPr>
        <w:rPr>
          <w:i/>
          <w:sz w:val="18"/>
          <w:szCs w:val="18"/>
        </w:rPr>
      </w:pPr>
    </w:p>
    <w:p w:rsidR="004B05F7" w:rsidRPr="004B05F7" w:rsidRDefault="004B05F7">
      <w:pPr>
        <w:rPr>
          <w:i/>
          <w:color w:val="FF0000"/>
          <w:sz w:val="18"/>
          <w:szCs w:val="18"/>
          <w:lang w:val="ka-GE"/>
        </w:rPr>
      </w:pPr>
      <w:r w:rsidRPr="004B05F7">
        <w:rPr>
          <w:i/>
          <w:color w:val="FF0000"/>
          <w:sz w:val="18"/>
          <w:szCs w:val="18"/>
          <w:lang w:val="ka-GE"/>
        </w:rPr>
        <w:t>შენიშვნა: წინამდებარე ცხრილის სრულ ვერსიას, აბონენტის ზუსტი მისამართებისა და დეტალებით, პრეტენდენეტბს მიეწოდებათ გაუთქმელობის დეკლარაციის ხელმოწერის შემდეგ</w:t>
      </w:r>
      <w:r>
        <w:rPr>
          <w:i/>
          <w:color w:val="FF0000"/>
          <w:sz w:val="18"/>
          <w:szCs w:val="18"/>
          <w:lang w:val="ka-GE"/>
        </w:rPr>
        <w:t xml:space="preserve">. დეკლარია თანდართულია სატენდერო დოკუმენტაციაზე. </w:t>
      </w:r>
    </w:p>
    <w:sectPr w:rsidR="004B05F7" w:rsidRPr="004B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4661"/>
    <w:multiLevelType w:val="hybridMultilevel"/>
    <w:tmpl w:val="1A4A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515135"/>
    <w:multiLevelType w:val="hybridMultilevel"/>
    <w:tmpl w:val="3EDE5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0B"/>
    <w:rsid w:val="00036F0B"/>
    <w:rsid w:val="00064BF9"/>
    <w:rsid w:val="000D62F0"/>
    <w:rsid w:val="00171163"/>
    <w:rsid w:val="00256BA3"/>
    <w:rsid w:val="002E2597"/>
    <w:rsid w:val="002F1C77"/>
    <w:rsid w:val="00474356"/>
    <w:rsid w:val="004B05F7"/>
    <w:rsid w:val="004B1EAC"/>
    <w:rsid w:val="006646D9"/>
    <w:rsid w:val="00677369"/>
    <w:rsid w:val="00713082"/>
    <w:rsid w:val="00910E37"/>
    <w:rsid w:val="00924DFE"/>
    <w:rsid w:val="00BA06B9"/>
    <w:rsid w:val="00BE6214"/>
    <w:rsid w:val="00E5561F"/>
    <w:rsid w:val="00EA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D26A"/>
  <w15:chartTrackingRefBased/>
  <w15:docId w15:val="{32CCB6C6-C7FE-40D4-A4CD-DB1C34D4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F0"/>
    <w:pPr>
      <w:ind w:left="720"/>
    </w:pPr>
  </w:style>
  <w:style w:type="table" w:styleId="TableGrid">
    <w:name w:val="Table Grid"/>
    <w:basedOn w:val="TableNormal"/>
    <w:uiPriority w:val="39"/>
    <w:rsid w:val="0066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1917">
      <w:bodyDiv w:val="1"/>
      <w:marLeft w:val="0"/>
      <w:marRight w:val="0"/>
      <w:marTop w:val="0"/>
      <w:marBottom w:val="0"/>
      <w:divBdr>
        <w:top w:val="none" w:sz="0" w:space="0" w:color="auto"/>
        <w:left w:val="none" w:sz="0" w:space="0" w:color="auto"/>
        <w:bottom w:val="none" w:sz="0" w:space="0" w:color="auto"/>
        <w:right w:val="none" w:sz="0" w:space="0" w:color="auto"/>
      </w:divBdr>
    </w:div>
    <w:div w:id="614677867">
      <w:bodyDiv w:val="1"/>
      <w:marLeft w:val="0"/>
      <w:marRight w:val="0"/>
      <w:marTop w:val="0"/>
      <w:marBottom w:val="0"/>
      <w:divBdr>
        <w:top w:val="none" w:sz="0" w:space="0" w:color="auto"/>
        <w:left w:val="none" w:sz="0" w:space="0" w:color="auto"/>
        <w:bottom w:val="none" w:sz="0" w:space="0" w:color="auto"/>
        <w:right w:val="none" w:sz="0" w:space="0" w:color="auto"/>
      </w:divBdr>
    </w:div>
    <w:div w:id="763040359">
      <w:bodyDiv w:val="1"/>
      <w:marLeft w:val="0"/>
      <w:marRight w:val="0"/>
      <w:marTop w:val="0"/>
      <w:marBottom w:val="0"/>
      <w:divBdr>
        <w:top w:val="none" w:sz="0" w:space="0" w:color="auto"/>
        <w:left w:val="none" w:sz="0" w:space="0" w:color="auto"/>
        <w:bottom w:val="none" w:sz="0" w:space="0" w:color="auto"/>
        <w:right w:val="none" w:sz="0" w:space="0" w:color="auto"/>
      </w:divBdr>
    </w:div>
    <w:div w:id="14127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2</cp:revision>
  <dcterms:created xsi:type="dcterms:W3CDTF">2024-06-27T11:09:00Z</dcterms:created>
  <dcterms:modified xsi:type="dcterms:W3CDTF">2024-06-27T11:09:00Z</dcterms:modified>
</cp:coreProperties>
</file>