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23" w:rsidRPr="00686C38" w:rsidRDefault="00CF7C67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 w:rsidRPr="00686C38">
        <w:rPr>
          <w:rFonts w:ascii="Sylfaen" w:hAnsi="Sylfaen" w:cs="Sylfaen"/>
          <w:b/>
          <w:szCs w:val="22"/>
          <w:lang w:val="ka-GE"/>
        </w:rPr>
        <w:t>საწვავის შესყიდვის</w:t>
      </w:r>
      <w:r w:rsidR="00011EBC" w:rsidRPr="00686C38">
        <w:rPr>
          <w:rFonts w:ascii="Sylfaen" w:hAnsi="Sylfaen" w:cs="Sylfaen"/>
          <w:b/>
          <w:szCs w:val="22"/>
          <w:lang w:val="ka-GE"/>
        </w:rPr>
        <w:t xml:space="preserve"> </w:t>
      </w:r>
      <w:r w:rsidR="00F82234" w:rsidRPr="00686C38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Pr="00686C38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686C38">
        <w:rPr>
          <w:rFonts w:ascii="Sylfaen" w:hAnsi="Sylfaen"/>
          <w:b/>
          <w:sz w:val="20"/>
          <w:szCs w:val="20"/>
          <w:lang w:val="nb-NO"/>
        </w:rPr>
        <w:t>პრ</w:t>
      </w:r>
      <w:r w:rsidRPr="00686C38">
        <w:rPr>
          <w:rFonts w:ascii="Sylfaen" w:hAnsi="Sylfaen"/>
          <w:b/>
          <w:sz w:val="20"/>
          <w:szCs w:val="20"/>
          <w:lang w:val="ka-GE"/>
        </w:rPr>
        <w:t>ე</w:t>
      </w:r>
      <w:r w:rsidRPr="00686C38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0D6423" w:rsidRPr="00686C38" w:rsidRDefault="000D6423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82234" w:rsidRPr="00686C38" w:rsidRDefault="00F82234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465"/>
        <w:gridCol w:w="4017"/>
        <w:gridCol w:w="5135"/>
      </w:tblGrid>
      <w:tr w:rsidR="00FE015C" w:rsidTr="00FE015C">
        <w:trPr>
          <w:trHeight w:val="27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15C" w:rsidRDefault="00FE015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თანხობრივი ფასდაკლება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superi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premiumi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regulari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evro</w:t>
            </w:r>
            <w:proofErr w:type="spellEnd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regulari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dizeli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evro</w:t>
            </w:r>
            <w:proofErr w:type="spellEnd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dizeli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Efix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/>
                <w:color w:val="000000"/>
                <w:sz w:val="20"/>
                <w:szCs w:val="20"/>
              </w:rPr>
              <w:t>premiumi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Efix</w:t>
            </w:r>
            <w:proofErr w:type="spellEnd"/>
            <w:r>
              <w:rPr>
                <w:rFonts w:ascii="AcadNusx" w:hAnsi="AcadNusx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/>
                <w:color w:val="000000"/>
                <w:sz w:val="20"/>
                <w:szCs w:val="20"/>
              </w:rPr>
              <w:t>dizeli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evro</w:t>
            </w:r>
            <w:proofErr w:type="spellEnd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superi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 xml:space="preserve">premium </w:t>
            </w: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avangardi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/>
                <w:color w:val="000000"/>
                <w:sz w:val="20"/>
                <w:szCs w:val="20"/>
              </w:rPr>
              <w:t>evro</w:t>
            </w:r>
            <w:proofErr w:type="spellEnd"/>
            <w:r>
              <w:rPr>
                <w:rFonts w:ascii="AcadNusx" w:hAnsi="AcadNusx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/>
                <w:color w:val="000000"/>
                <w:sz w:val="20"/>
                <w:szCs w:val="20"/>
              </w:rPr>
              <w:t>premiumi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/>
                <w:color w:val="000000"/>
                <w:sz w:val="20"/>
                <w:szCs w:val="20"/>
              </w:rPr>
              <w:t>superi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cadNusx" w:hAnsi="AcadNusx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/>
                <w:color w:val="000000"/>
                <w:sz w:val="20"/>
                <w:szCs w:val="20"/>
              </w:rPr>
              <w:t>premiumi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api</w:t>
            </w:r>
            <w:proofErr w:type="spellEnd"/>
            <w:r>
              <w:rPr>
                <w:rFonts w:ascii="AcadNusx" w:hAnsi="AcadNusx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/>
                <w:color w:val="000000"/>
                <w:sz w:val="20"/>
                <w:szCs w:val="20"/>
              </w:rPr>
              <w:t>dizeli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 xml:space="preserve">regular </w:t>
            </w: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enerji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dizel</w:t>
            </w:r>
            <w:proofErr w:type="spellEnd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enerji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015C" w:rsidTr="00FE015C">
        <w:trPr>
          <w:trHeight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jc w:val="right"/>
              <w:rPr>
                <w:rFonts w:ascii="AcadNusx" w:hAnsi="AcadNusx" w:cs="Calibri"/>
                <w:color w:val="000000"/>
                <w:sz w:val="20"/>
                <w:szCs w:val="20"/>
              </w:rPr>
            </w:pPr>
            <w:r>
              <w:rPr>
                <w:rFonts w:ascii="AcadNusx" w:hAnsi="AcadNusx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AcadNusx" w:hAnsi="AcadNusx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>dizel</w:t>
            </w:r>
            <w:proofErr w:type="spellEnd"/>
            <w:r>
              <w:rPr>
                <w:rFonts w:ascii="AcadNusx" w:hAnsi="AcadNusx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 62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5C" w:rsidRDefault="00FE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151E5" w:rsidRPr="00686C38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0D6423" w:rsidRPr="00686C38" w:rsidRDefault="000D6423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Pr="00686C3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686C38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686C38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686C38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83A93" w:rsidRPr="00686C38" w:rsidRDefault="00583A93" w:rsidP="003151E5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484AEE" w:rsidRPr="00686C38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686C38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686C3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686C38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686C38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Pr="00686C38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686C38">
        <w:rPr>
          <w:rFonts w:ascii="Sylfaen" w:hAnsi="Sylfaen" w:cs="Sylfaen"/>
          <w:b/>
          <w:sz w:val="18"/>
          <w:szCs w:val="18"/>
          <w:lang w:val="ka-GE"/>
        </w:rPr>
        <w:t xml:space="preserve">*   </w:t>
      </w:r>
      <w:r w:rsidR="009A78CD" w:rsidRPr="00686C38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 w:rsidRPr="00686C3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686C38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686C38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C428B0" w:rsidRPr="00686C38">
        <w:rPr>
          <w:rFonts w:ascii="Sylfaen" w:hAnsi="Sylfaen" w:cs="Sylfaen"/>
          <w:b/>
          <w:sz w:val="18"/>
          <w:szCs w:val="18"/>
          <w:lang w:val="ka-GE"/>
        </w:rPr>
        <w:t>, ტრანსპორტირებისა და განბაჟების ხარჯების ჩათვლით</w:t>
      </w:r>
      <w:r w:rsidR="000D6423" w:rsidRPr="00686C38"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0D6423" w:rsidRPr="00686C38" w:rsidRDefault="000D6423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686C38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686C38" w:rsidRDefault="00CF7C67" w:rsidP="00A30FBC">
      <w:pPr>
        <w:pStyle w:val="Heading1"/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დამატებითი მოთხოვნები:</w:t>
      </w:r>
    </w:p>
    <w:p w:rsidR="00CF7C67" w:rsidRPr="00686C38" w:rsidRDefault="00CF7C67" w:rsidP="00CF7C67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szCs w:val="20"/>
          <w:u w:val="single"/>
          <w:lang w:val="ka-GE"/>
        </w:rPr>
      </w:pP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>მომწოდებელმა უნდა ატვირთოს ფასების დეტალური შეთვაზების ფაილი, მის ქსელში არსებულ საბაზრო ფასებ</w:t>
      </w:r>
      <w:r w:rsidR="009A130F" w:rsidRPr="00686C38">
        <w:rPr>
          <w:rFonts w:ascii="Sylfaen" w:hAnsi="Sylfaen" w:cs="Sylfaen"/>
          <w:sz w:val="20"/>
          <w:szCs w:val="20"/>
          <w:u w:val="single"/>
          <w:lang w:val="ka-GE"/>
        </w:rPr>
        <w:t>თ</w:t>
      </w: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 xml:space="preserve">ან მიმართებაში </w:t>
      </w:r>
      <w:r w:rsidR="002D187F">
        <w:rPr>
          <w:rFonts w:ascii="Sylfaen" w:hAnsi="Sylfaen" w:cs="Sylfaen"/>
          <w:sz w:val="20"/>
          <w:szCs w:val="20"/>
          <w:u w:val="single"/>
          <w:lang w:val="ka-GE"/>
        </w:rPr>
        <w:t>ლარში, თანხმობრივ ფასდაკლებასთან</w:t>
      </w: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 xml:space="preserve">  ერთად, ასევე დეტალური ინფორმაცია ჩიპების, ანუ მათი მონიტორინგის სისტემის შესახებ (ფასდაკლების განხორციელება მოხდება გამყიდველის ავტოგასამართ სადგურზე, საწვავის ჩასხმის დღეს ნაჩვენები ფასის შსაბამისად)</w:t>
      </w:r>
    </w:p>
    <w:p w:rsidR="009A130F" w:rsidRPr="00686C38" w:rsidRDefault="009A130F" w:rsidP="009A130F">
      <w:pPr>
        <w:pStyle w:val="ListParagraph"/>
        <w:ind w:left="0"/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9A130F" w:rsidRPr="00686C38" w:rsidRDefault="009A130F" w:rsidP="009A130F">
      <w:pPr>
        <w:pStyle w:val="ListParagraph"/>
        <w:ind w:left="0"/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6A131D" w:rsidRPr="00686C38" w:rsidRDefault="006A131D" w:rsidP="009A130F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  <w:r w:rsidRPr="00686C38">
        <w:rPr>
          <w:rFonts w:ascii="Sylfaen" w:hAnsi="Sylfaen" w:cs="Sylfaen"/>
          <w:b/>
          <w:sz w:val="20"/>
          <w:szCs w:val="20"/>
          <w:lang w:val="ka-GE"/>
        </w:rPr>
        <w:t>სავალდებულოა მომწოდებელ კომპანიას ქონდეს მომსასახურეობის შემდეგი შემოთავაზებები:</w:t>
      </w:r>
    </w:p>
    <w:p w:rsidR="009A130F" w:rsidRPr="00686C38" w:rsidRDefault="009A130F" w:rsidP="006A131D">
      <w:pPr>
        <w:pStyle w:val="ListParagraph"/>
        <w:ind w:left="810"/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9A130F" w:rsidRPr="00686C38" w:rsidRDefault="009A130F" w:rsidP="009A130F">
      <w:pPr>
        <w:pStyle w:val="ListParagraph"/>
        <w:numPr>
          <w:ilvl w:val="0"/>
          <w:numId w:val="12"/>
        </w:numPr>
        <w:rPr>
          <w:rFonts w:ascii="Sylfaen" w:hAnsi="Sylfaen" w:cs="Sylfaen"/>
          <w:sz w:val="20"/>
          <w:szCs w:val="20"/>
          <w:u w:val="single"/>
          <w:lang w:val="ka-GE"/>
        </w:rPr>
      </w:pP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>საწვავის მოწოდება, საწვავის ავზის ყელზე დამონტაჟებული ჩიპის მეშვეობით ( რომელიც ავტომატურად აღიქვამს კონკრეტული ავტომანქანისათვის დაწესებულ</w:t>
      </w:r>
      <w:r w:rsidR="00760411" w:rsidRPr="00686C38">
        <w:rPr>
          <w:rFonts w:ascii="Sylfaen" w:hAnsi="Sylfaen" w:cs="Sylfaen"/>
          <w:sz w:val="20"/>
          <w:szCs w:val="20"/>
          <w:u w:val="single"/>
          <w:lang w:val="ka-GE"/>
        </w:rPr>
        <w:t>ი</w:t>
      </w: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 xml:space="preserve"> საწვავის ლიმიტს).</w:t>
      </w:r>
    </w:p>
    <w:p w:rsidR="006A131D" w:rsidRPr="00686C38" w:rsidRDefault="006A131D" w:rsidP="009A130F">
      <w:pPr>
        <w:pStyle w:val="ListParagraph"/>
        <w:numPr>
          <w:ilvl w:val="0"/>
          <w:numId w:val="12"/>
        </w:numPr>
        <w:rPr>
          <w:rFonts w:ascii="Sylfaen" w:hAnsi="Sylfaen" w:cs="Sylfaen"/>
          <w:sz w:val="20"/>
          <w:szCs w:val="20"/>
          <w:u w:val="single"/>
          <w:lang w:val="ka-GE"/>
        </w:rPr>
      </w:pP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>საწვავის მოწოდება</w:t>
      </w:r>
      <w:r w:rsidR="009A130F" w:rsidRPr="00686C38">
        <w:rPr>
          <w:rFonts w:ascii="Sylfaen" w:hAnsi="Sylfaen" w:cs="Sylfaen"/>
          <w:sz w:val="20"/>
          <w:szCs w:val="20"/>
          <w:u w:val="single"/>
          <w:lang w:val="ka-GE"/>
        </w:rPr>
        <w:t>,</w:t>
      </w: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 xml:space="preserve"> პლასტიკური ბარათით</w:t>
      </w:r>
    </w:p>
    <w:p w:rsidR="006A131D" w:rsidRPr="00686C38" w:rsidRDefault="006A131D" w:rsidP="009A130F">
      <w:pPr>
        <w:pStyle w:val="ListParagraph"/>
        <w:numPr>
          <w:ilvl w:val="0"/>
          <w:numId w:val="12"/>
        </w:numPr>
        <w:rPr>
          <w:rFonts w:ascii="Sylfaen" w:hAnsi="Sylfaen" w:cs="Sylfaen"/>
          <w:sz w:val="20"/>
          <w:szCs w:val="20"/>
          <w:u w:val="single"/>
          <w:lang w:val="ka-GE"/>
        </w:rPr>
      </w:pP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>საწვავის მოწოდება</w:t>
      </w:r>
      <w:r w:rsidR="009A130F" w:rsidRPr="00686C38">
        <w:rPr>
          <w:rFonts w:ascii="Sylfaen" w:hAnsi="Sylfaen" w:cs="Sylfaen"/>
          <w:sz w:val="20"/>
          <w:szCs w:val="20"/>
          <w:u w:val="single"/>
          <w:lang w:val="ka-GE"/>
        </w:rPr>
        <w:t>,</w:t>
      </w: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>სატალონო სისტემით</w:t>
      </w:r>
    </w:p>
    <w:p w:rsidR="009A130F" w:rsidRPr="00686C38" w:rsidRDefault="009A130F" w:rsidP="009A130F">
      <w:pPr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9A130F" w:rsidRPr="00686C38" w:rsidRDefault="009A130F" w:rsidP="009A130F">
      <w:pPr>
        <w:rPr>
          <w:rFonts w:ascii="Sylfaen" w:hAnsi="Sylfaen" w:cs="Sylfaen"/>
          <w:sz w:val="20"/>
          <w:szCs w:val="20"/>
          <w:u w:val="single"/>
          <w:lang w:val="ka-GE"/>
        </w:rPr>
      </w:pPr>
      <w:r w:rsidRPr="00686C38">
        <w:rPr>
          <w:rFonts w:ascii="Sylfaen" w:hAnsi="Sylfaen" w:cs="Sylfaen"/>
          <w:sz w:val="20"/>
          <w:szCs w:val="20"/>
          <w:u w:val="single"/>
          <w:lang w:val="ka-GE"/>
        </w:rPr>
        <w:t>ტენდერში უპირატესობა მიენიჭება კომპანიას რომელსაც მომსახურებაში ექნება შემოთავაზებული  საწვავის მოწოდების 1-პუნქტი.</w:t>
      </w:r>
    </w:p>
    <w:p w:rsidR="009A130F" w:rsidRPr="00686C38" w:rsidRDefault="009A130F" w:rsidP="009A130F">
      <w:pPr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9A130F" w:rsidRPr="00686C38" w:rsidRDefault="009A130F" w:rsidP="009A130F">
      <w:pPr>
        <w:rPr>
          <w:rFonts w:ascii="Sylfaen" w:hAnsi="Sylfaen" w:cs="Sylfaen"/>
          <w:sz w:val="20"/>
          <w:szCs w:val="20"/>
          <w:u w:val="single"/>
          <w:lang w:val="ka-GE"/>
        </w:rPr>
      </w:pPr>
      <w:r w:rsidRPr="00686C38">
        <w:rPr>
          <w:rFonts w:ascii="Sylfaen" w:hAnsi="Sylfaen" w:cs="Sylfaen"/>
          <w:sz w:val="20"/>
          <w:szCs w:val="20"/>
          <w:u w:val="single"/>
          <w:lang w:val="ka-GE"/>
        </w:rPr>
        <w:lastRenderedPageBreak/>
        <w:t>ბანკის მხრიდან პასუხისმგებელ პირს უნდა შეეძლოს 24 საათიან რეჟიმში ბანკის ავტოპარკის საწვავის განკარგვა და კონტროლი.</w:t>
      </w:r>
    </w:p>
    <w:p w:rsidR="009A130F" w:rsidRPr="00686C38" w:rsidRDefault="009A130F" w:rsidP="009A130F">
      <w:pPr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9A130F" w:rsidRPr="00686C38" w:rsidRDefault="009A130F" w:rsidP="009A130F">
      <w:pPr>
        <w:rPr>
          <w:rFonts w:ascii="Sylfaen" w:hAnsi="Sylfaen" w:cs="Sylfaen"/>
          <w:sz w:val="20"/>
          <w:szCs w:val="20"/>
          <w:u w:val="single"/>
          <w:lang w:val="ka-GE"/>
        </w:rPr>
      </w:pPr>
    </w:p>
    <w:p w:rsidR="00CF7C67" w:rsidRPr="00686C38" w:rsidRDefault="00CF7C67" w:rsidP="00CF7C67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ყოველთვიური სავარაუდო საწვავის მოხმარება (ლიტრებში):</w:t>
      </w:r>
    </w:p>
    <w:p w:rsidR="00CF7C67" w:rsidRPr="00686C38" w:rsidRDefault="00CF7C67" w:rsidP="00CF7C67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ბენზინი - 30000 ლ;</w:t>
      </w:r>
    </w:p>
    <w:p w:rsidR="00CF7C67" w:rsidRPr="00686C38" w:rsidRDefault="00CF7C67" w:rsidP="00CF7C67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დიზელი - 23000 ლ.</w:t>
      </w:r>
    </w:p>
    <w:p w:rsidR="00CF7C67" w:rsidRPr="00686C38" w:rsidRDefault="00CF7C67" w:rsidP="000C7375">
      <w:pPr>
        <w:pStyle w:val="ListParagraph"/>
        <w:numPr>
          <w:ilvl w:val="0"/>
          <w:numId w:val="7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შემოთავაზებული საწვავი არ უნდა შეიცავდეს ეთილს;</w:t>
      </w:r>
    </w:p>
    <w:p w:rsidR="00CF7C67" w:rsidRPr="00686C38" w:rsidRDefault="00CF7C67" w:rsidP="00CF7C67">
      <w:pPr>
        <w:pStyle w:val="ListParagraph"/>
        <w:numPr>
          <w:ilvl w:val="0"/>
          <w:numId w:val="7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</w:t>
      </w:r>
      <w:r w:rsidRPr="00686C38">
        <w:rPr>
          <w:rFonts w:ascii="Sylfaen" w:hAnsi="Sylfaen" w:cs="Sylfaen"/>
          <w:sz w:val="20"/>
          <w:szCs w:val="20"/>
        </w:rPr>
        <w:t xml:space="preserve"> </w:t>
      </w:r>
      <w:r w:rsidRPr="00686C38">
        <w:rPr>
          <w:rFonts w:ascii="Sylfaen" w:hAnsi="Sylfaen" w:cs="Sylfaen"/>
          <w:sz w:val="20"/>
          <w:szCs w:val="20"/>
          <w:lang w:val="ka-GE"/>
        </w:rPr>
        <w:t>1 წლიანი, გენერალური ხელშეკრულება;</w:t>
      </w:r>
    </w:p>
    <w:p w:rsidR="00CF7C67" w:rsidRPr="00686C38" w:rsidRDefault="00CF7C67" w:rsidP="000C7375">
      <w:pPr>
        <w:pStyle w:val="ListParagraph"/>
        <w:numPr>
          <w:ilvl w:val="0"/>
          <w:numId w:val="7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საქონლის შესყიდვა/მომსახურება იქნება რეგულარული სახელშეკრულებო პერიოდის განმავლობაში;</w:t>
      </w:r>
    </w:p>
    <w:p w:rsidR="00CF7C67" w:rsidRPr="00686C38" w:rsidRDefault="00CF7C67" w:rsidP="000C7375">
      <w:pPr>
        <w:pStyle w:val="ListParagraph"/>
        <w:numPr>
          <w:ilvl w:val="0"/>
          <w:numId w:val="7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გამარჯვებული კომპანია ვალდებული იქნება მიაწო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დ</w:t>
      </w:r>
      <w:r w:rsidRPr="00686C38">
        <w:rPr>
          <w:rFonts w:ascii="Sylfaen" w:hAnsi="Sylfaen" w:cs="Sylfaen"/>
          <w:sz w:val="20"/>
          <w:szCs w:val="20"/>
          <w:lang w:val="ka-GE"/>
        </w:rPr>
        <w:t>ოს ბანკს:</w:t>
      </w:r>
    </w:p>
    <w:p w:rsidR="00CF7C67" w:rsidRPr="00686C38" w:rsidRDefault="00CF7C67" w:rsidP="00CF7C67">
      <w:pPr>
        <w:pStyle w:val="ListParagraph"/>
        <w:numPr>
          <w:ilvl w:val="0"/>
          <w:numId w:val="10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ინფორმაცია (</w:t>
      </w:r>
      <w:r w:rsidRPr="00686C38">
        <w:rPr>
          <w:rFonts w:ascii="Sylfaen" w:hAnsi="Sylfaen" w:cs="Sylfaen"/>
          <w:sz w:val="20"/>
          <w:szCs w:val="20"/>
        </w:rPr>
        <w:t>Excel-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ში) ბანკის 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ავტოპარკის მიერ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გახარჯულ საწვავზე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 მანქანის 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 xml:space="preserve">სახელმწიფო </w:t>
      </w:r>
      <w:r w:rsidRPr="00686C38">
        <w:rPr>
          <w:rFonts w:ascii="Sylfaen" w:hAnsi="Sylfaen" w:cs="Sylfaen"/>
          <w:sz w:val="20"/>
          <w:szCs w:val="20"/>
          <w:lang w:val="ka-GE"/>
        </w:rPr>
        <w:t>ნომრების ჭრილში. აღნშნული ფაილი ა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სევე უნდა მოიცავდეს ინფორმაციას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 მოხმარ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ებული საწვავის ტიპ</w:t>
      </w:r>
      <w:r w:rsidRPr="00686C38">
        <w:rPr>
          <w:rFonts w:ascii="Sylfaen" w:hAnsi="Sylfaen" w:cs="Sylfaen"/>
          <w:sz w:val="20"/>
          <w:szCs w:val="20"/>
          <w:lang w:val="ka-GE"/>
        </w:rPr>
        <w:t>ს, ბენზინ გასამართი სადგურის მისამარ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თს, მოხმარების თარიღს და დრო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ს, მოხმარებული 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საწვავის მოცულობას, ერთეულის ფასს და მოხმარებული საწვავის ჯამურ თანხებს.</w:t>
      </w:r>
    </w:p>
    <w:p w:rsidR="00CF7C67" w:rsidRPr="002D187F" w:rsidRDefault="00CF7C67" w:rsidP="00CF7C67">
      <w:pPr>
        <w:pStyle w:val="ListParagraph"/>
        <w:numPr>
          <w:ilvl w:val="0"/>
          <w:numId w:val="11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2D187F">
        <w:rPr>
          <w:rFonts w:ascii="Sylfaen" w:hAnsi="Sylfaen" w:cs="Sylfaen"/>
          <w:sz w:val="20"/>
          <w:szCs w:val="20"/>
          <w:lang w:val="ka-GE"/>
        </w:rPr>
        <w:t>მომწოდებელი ვალდებულია</w:t>
      </w:r>
      <w:r w:rsidR="006A131D" w:rsidRPr="002D187F">
        <w:rPr>
          <w:rFonts w:ascii="Sylfaen" w:hAnsi="Sylfaen" w:cs="Sylfaen"/>
          <w:sz w:val="20"/>
          <w:szCs w:val="20"/>
          <w:lang w:val="ka-GE"/>
        </w:rPr>
        <w:t xml:space="preserve"> სატენდერო</w:t>
      </w:r>
      <w:r w:rsidRPr="002D187F">
        <w:rPr>
          <w:rFonts w:ascii="Sylfaen" w:hAnsi="Sylfaen" w:cs="Sylfaen"/>
          <w:sz w:val="20"/>
          <w:szCs w:val="20"/>
          <w:lang w:val="ka-GE"/>
        </w:rPr>
        <w:t xml:space="preserve"> ვებ.გვერდზე </w:t>
      </w:r>
      <w:r w:rsidR="002D187F" w:rsidRPr="002D187F">
        <w:rPr>
          <w:rFonts w:ascii="Sylfaen" w:hAnsi="Sylfaen" w:cs="Sylfaen"/>
          <w:sz w:val="20"/>
          <w:szCs w:val="20"/>
          <w:lang w:val="ka-GE"/>
        </w:rPr>
        <w:t>მიუთითოს შემოთავაზებული ფასდაკლება ლარში (თანხმობრივად)</w:t>
      </w:r>
      <w:r w:rsidR="002D187F">
        <w:rPr>
          <w:rFonts w:ascii="Sylfaen" w:hAnsi="Sylfaen" w:cs="Sylfaen"/>
          <w:sz w:val="20"/>
          <w:szCs w:val="20"/>
          <w:lang w:val="ka-GE"/>
        </w:rPr>
        <w:t>.</w:t>
      </w:r>
    </w:p>
    <w:p w:rsidR="009E46FD" w:rsidRPr="00686C38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</w:rPr>
      </w:pPr>
    </w:p>
    <w:p w:rsidR="006F1C9D" w:rsidRPr="00686C38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686C38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EA3F45" w:rsidRPr="00686C38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BA1A9E" w:rsidRPr="00686C38">
        <w:rPr>
          <w:rFonts w:ascii="Sylfaen" w:hAnsi="Sylfaen" w:cs="Sylfaen"/>
          <w:sz w:val="20"/>
          <w:szCs w:val="20"/>
        </w:rPr>
        <w:t>7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15</w:t>
      </w:r>
      <w:r w:rsidR="00ED23A2" w:rsidRPr="00686C38">
        <w:rPr>
          <w:rFonts w:ascii="Sylfaen" w:hAnsi="Sylfaen" w:cs="Sylfaen"/>
          <w:sz w:val="20"/>
          <w:szCs w:val="20"/>
        </w:rPr>
        <w:t xml:space="preserve"> </w:t>
      </w:r>
      <w:r w:rsidR="00ED23A2" w:rsidRPr="00686C38">
        <w:rPr>
          <w:rFonts w:ascii="Sylfaen" w:hAnsi="Sylfaen" w:cs="Sylfaen"/>
          <w:sz w:val="20"/>
          <w:szCs w:val="20"/>
          <w:lang w:val="ka-GE"/>
        </w:rPr>
        <w:t>ივნისიდან 2</w:t>
      </w:r>
      <w:r w:rsidR="00BA1A9E" w:rsidRPr="00686C38">
        <w:rPr>
          <w:rFonts w:ascii="Sylfaen" w:hAnsi="Sylfaen" w:cs="Sylfaen"/>
          <w:sz w:val="20"/>
          <w:szCs w:val="20"/>
          <w:lang w:val="ka-GE"/>
        </w:rPr>
        <w:t>017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A131D" w:rsidRPr="00686C38">
        <w:rPr>
          <w:rFonts w:ascii="Sylfaen" w:hAnsi="Sylfaen" w:cs="Sylfaen"/>
          <w:sz w:val="20"/>
          <w:szCs w:val="20"/>
          <w:lang w:val="ka-GE"/>
        </w:rPr>
        <w:t>23</w:t>
      </w:r>
      <w:r w:rsidR="00ED23A2" w:rsidRPr="00686C38">
        <w:rPr>
          <w:rFonts w:ascii="Sylfaen" w:hAnsi="Sylfaen" w:cs="Sylfaen"/>
          <w:sz w:val="20"/>
          <w:szCs w:val="20"/>
          <w:lang w:val="ka-GE"/>
        </w:rPr>
        <w:t xml:space="preserve"> ივნისის </w:t>
      </w:r>
      <w:r w:rsidRPr="00686C38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686C38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F41F90" w:rsidRPr="00686C38">
        <w:fldChar w:fldCharType="begin"/>
      </w:r>
      <w:r w:rsidR="00F41F90" w:rsidRPr="00686C38">
        <w:instrText xml:space="preserve"> HYPERLINK "http://www.tenders.bog.ge" </w:instrText>
      </w:r>
      <w:r w:rsidR="00F41F90" w:rsidRPr="00686C38">
        <w:fldChar w:fldCharType="separate"/>
      </w:r>
      <w:r w:rsidRPr="00686C38">
        <w:rPr>
          <w:rStyle w:val="Hyperlink"/>
          <w:rFonts w:ascii="Sylfaen" w:hAnsi="Sylfaen" w:cs="Sylfaen"/>
          <w:color w:val="auto"/>
          <w:sz w:val="20"/>
          <w:szCs w:val="20"/>
        </w:rPr>
        <w:t>www.tenders.bog.ge</w:t>
      </w:r>
      <w:r w:rsidR="00F41F90" w:rsidRPr="00686C38">
        <w:rPr>
          <w:rStyle w:val="Hyperlink"/>
          <w:rFonts w:ascii="Sylfaen" w:hAnsi="Sylfaen" w:cs="Sylfaen"/>
          <w:color w:val="auto"/>
          <w:sz w:val="20"/>
          <w:szCs w:val="20"/>
        </w:rPr>
        <w:fldChar w:fldCharType="end"/>
      </w:r>
      <w:r w:rsidRPr="00686C38"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686C38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686C38">
        <w:rPr>
          <w:rFonts w:ascii="AcadNusx" w:hAnsi="AcadNusx"/>
          <w:bCs/>
          <w:sz w:val="20"/>
          <w:szCs w:val="20"/>
          <w:lang w:val="ka-GE"/>
        </w:rPr>
        <w:t>#</w:t>
      </w:r>
      <w:r w:rsidRPr="00686C38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Pr="00686C38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686C38">
        <w:rPr>
          <w:rFonts w:ascii="AcadNusx" w:hAnsi="AcadNusx"/>
          <w:bCs/>
          <w:sz w:val="20"/>
          <w:szCs w:val="20"/>
          <w:lang w:val="ka-GE"/>
        </w:rPr>
        <w:t>#</w:t>
      </w:r>
      <w:r w:rsidRPr="00686C38">
        <w:rPr>
          <w:rFonts w:ascii="Sylfaen" w:hAnsi="Sylfaen"/>
          <w:bCs/>
          <w:sz w:val="20"/>
          <w:szCs w:val="20"/>
          <w:lang w:val="ka-GE"/>
        </w:rPr>
        <w:t>2-ის და ა.შ გასწვრივ (ფასები უნდა მიეთითოს მეასედებით: 0,05; 0,35 და ა.შ);</w:t>
      </w:r>
    </w:p>
    <w:p w:rsidR="00484AEE" w:rsidRPr="00686C38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86C38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Pr="00686C38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0D6423" w:rsidRPr="00686C38" w:rsidRDefault="000D6423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</w:rPr>
      </w:pPr>
    </w:p>
    <w:p w:rsidR="0017457A" w:rsidRPr="00686C38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686C38">
        <w:rPr>
          <w:rFonts w:cs="AcadMtavr"/>
          <w:sz w:val="20"/>
          <w:szCs w:val="20"/>
          <w:lang w:val="ka-GE"/>
        </w:rPr>
        <w:t xml:space="preserve"> </w:t>
      </w:r>
      <w:r w:rsidR="0017457A" w:rsidRPr="00686C38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Pr="00686C38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686C38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0D6423" w:rsidRPr="00686C38" w:rsidRDefault="000D6423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686C38">
        <w:rPr>
          <w:rFonts w:ascii="Sylfaen" w:hAnsi="Sylfaen"/>
          <w:sz w:val="20"/>
          <w:szCs w:val="20"/>
          <w:lang w:val="ka-GE"/>
        </w:rPr>
        <w:t>კომპანიის სერთიფიკატები (ასეთის არსებობის შემთხვევაში);</w:t>
      </w:r>
    </w:p>
    <w:p w:rsidR="00E163E7" w:rsidRPr="00686C38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 w:rsidRPr="00686C38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 w:rsidRPr="00686C38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 w:rsidRPr="00686C38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 w:rsidRPr="00686C38">
        <w:rPr>
          <w:rFonts w:ascii="Sylfaen" w:hAnsi="Sylfaen" w:cs="Sylfaen"/>
          <w:sz w:val="20"/>
          <w:szCs w:val="20"/>
          <w:lang w:val="ka-GE"/>
        </w:rPr>
        <w:t>;</w:t>
      </w:r>
    </w:p>
    <w:p w:rsidR="00F82234" w:rsidRPr="00686C38" w:rsidRDefault="00F82234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86C38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74FDC" w:rsidRPr="00686C38" w:rsidRDefault="00A74FDC" w:rsidP="00A74FDC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</w:rPr>
      </w:pPr>
    </w:p>
    <w:p w:rsidR="00A74FDC" w:rsidRPr="00686C38" w:rsidRDefault="00A74FDC" w:rsidP="00A74F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686C38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686C38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686C38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686C38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686C38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686C38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686C38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686C38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686C38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686C38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686C38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686C38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686C38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686C38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686C38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686C38">
        <w:rPr>
          <w:rFonts w:ascii="Sylfaen" w:eastAsia="Sylfaen" w:hAnsi="Sylfaen"/>
          <w:b/>
          <w:sz w:val="20"/>
          <w:szCs w:val="20"/>
        </w:rPr>
        <w:t>:</w:t>
      </w:r>
    </w:p>
    <w:p w:rsidR="00A74FDC" w:rsidRPr="00686C38" w:rsidRDefault="00CF7C67" w:rsidP="00A74F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686C38">
        <w:rPr>
          <w:rFonts w:ascii="Sylfaen" w:eastAsia="Sylfaen" w:hAnsi="Sylfaen"/>
          <w:b/>
          <w:sz w:val="20"/>
          <w:szCs w:val="20"/>
          <w:lang w:val="ka-GE"/>
        </w:rPr>
        <w:t>ბესო ქი</w:t>
      </w:r>
      <w:r w:rsidR="00583A93" w:rsidRPr="00686C38">
        <w:rPr>
          <w:rFonts w:ascii="Sylfaen" w:eastAsia="Sylfaen" w:hAnsi="Sylfaen"/>
          <w:b/>
          <w:sz w:val="20"/>
          <w:szCs w:val="20"/>
          <w:lang w:val="ka-GE"/>
        </w:rPr>
        <w:t>ტ</w:t>
      </w:r>
      <w:r w:rsidRPr="00686C38">
        <w:rPr>
          <w:rFonts w:ascii="Sylfaen" w:eastAsia="Sylfaen" w:hAnsi="Sylfaen"/>
          <w:b/>
          <w:sz w:val="20"/>
          <w:szCs w:val="20"/>
          <w:lang w:val="ka-GE"/>
        </w:rPr>
        <w:t>იაშვილი</w:t>
      </w:r>
    </w:p>
    <w:p w:rsidR="00720F54" w:rsidRPr="00686C38" w:rsidRDefault="00A74FDC" w:rsidP="00720F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 w:rsidRPr="00686C38">
        <w:rPr>
          <w:rFonts w:ascii="Sylfaen" w:eastAsia="Sylfaen" w:hAnsi="Sylfaen"/>
          <w:b/>
          <w:sz w:val="20"/>
          <w:szCs w:val="20"/>
          <w:lang w:val="ka-GE"/>
        </w:rPr>
        <w:t>ტელ</w:t>
      </w:r>
      <w:r w:rsidR="00846C60" w:rsidRPr="00686C38">
        <w:rPr>
          <w:rFonts w:ascii="Sylfaen" w:eastAsia="Sylfaen" w:hAnsi="Sylfaen"/>
          <w:b/>
          <w:sz w:val="20"/>
          <w:szCs w:val="20"/>
          <w:lang w:val="ka-GE"/>
        </w:rPr>
        <w:t>.: (+995 32) 2 444 444 (*4619</w:t>
      </w:r>
      <w:r w:rsidRPr="00686C38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A74FDC" w:rsidRPr="00686C38" w:rsidRDefault="00A74FDC" w:rsidP="00720F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686C38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846C60" w:rsidRPr="00686C38">
        <w:rPr>
          <w:rFonts w:ascii="Sylfaen" w:eastAsia="Sylfaen" w:hAnsi="Sylfaen"/>
          <w:b/>
          <w:sz w:val="20"/>
          <w:szCs w:val="20"/>
          <w:lang w:val="ka-GE"/>
        </w:rPr>
        <w:t>.:(+995) 555 000 778</w:t>
      </w:r>
    </w:p>
    <w:p w:rsidR="008C26E6" w:rsidRPr="00686C38" w:rsidRDefault="00A74FD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686C38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9" w:history="1">
        <w:r w:rsidR="00846C60" w:rsidRPr="00686C38">
          <w:rPr>
            <w:rStyle w:val="Hyperlink"/>
            <w:color w:val="auto"/>
          </w:rPr>
          <w:t>bkitiashvili@bog.ge</w:t>
        </w:r>
      </w:hyperlink>
      <w:r w:rsidR="00846C60" w:rsidRPr="00686C38">
        <w:rPr>
          <w:rFonts w:ascii="Sylfaen" w:hAnsi="Sylfaen"/>
          <w:lang w:val="ka-GE"/>
        </w:rPr>
        <w:t xml:space="preserve"> </w:t>
      </w:r>
    </w:p>
    <w:sectPr w:rsidR="008C26E6" w:rsidRPr="00686C38" w:rsidSect="009A130F">
      <w:footerReference w:type="even" r:id="rId10"/>
      <w:footerReference w:type="default" r:id="rId11"/>
      <w:pgSz w:w="12240" w:h="15840"/>
      <w:pgMar w:top="360" w:right="1022" w:bottom="3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6D" w:rsidRDefault="005F2E6D">
      <w:r>
        <w:separator/>
      </w:r>
    </w:p>
  </w:endnote>
  <w:endnote w:type="continuationSeparator" w:id="0">
    <w:p w:rsidR="005F2E6D" w:rsidRDefault="005F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15C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6D" w:rsidRDefault="005F2E6D">
      <w:r>
        <w:separator/>
      </w:r>
    </w:p>
  </w:footnote>
  <w:footnote w:type="continuationSeparator" w:id="0">
    <w:p w:rsidR="005F2E6D" w:rsidRDefault="005F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089"/>
    <w:multiLevelType w:val="hybridMultilevel"/>
    <w:tmpl w:val="7A76660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E73D5"/>
    <w:multiLevelType w:val="hybridMultilevel"/>
    <w:tmpl w:val="4E58F4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E5B3CFA"/>
    <w:multiLevelType w:val="hybridMultilevel"/>
    <w:tmpl w:val="1BB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1B89"/>
    <w:multiLevelType w:val="hybridMultilevel"/>
    <w:tmpl w:val="720821C4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61F20"/>
    <w:multiLevelType w:val="hybridMultilevel"/>
    <w:tmpl w:val="72F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61F"/>
    <w:multiLevelType w:val="hybridMultilevel"/>
    <w:tmpl w:val="936296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1EB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6BE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423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17A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09A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87F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59D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A7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1F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5F0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7B4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A93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293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2E6D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6C38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31D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1E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0F54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411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6C60"/>
    <w:rsid w:val="008475CC"/>
    <w:rsid w:val="008479F5"/>
    <w:rsid w:val="00847FAA"/>
    <w:rsid w:val="0085025D"/>
    <w:rsid w:val="00850406"/>
    <w:rsid w:val="00850A4D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A9F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30F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4E9F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4FDC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60C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6AD"/>
    <w:rsid w:val="00BA1A49"/>
    <w:rsid w:val="00BA1A9E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28B0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141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CF7C67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485F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6E9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87C2B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3A2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A56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1F90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234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15C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kitia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EAE4-DDD6-40D1-82D3-62213306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3538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4</cp:revision>
  <cp:lastPrinted>2017-06-19T12:28:00Z</cp:lastPrinted>
  <dcterms:created xsi:type="dcterms:W3CDTF">2017-06-19T12:28:00Z</dcterms:created>
  <dcterms:modified xsi:type="dcterms:W3CDTF">2017-06-22T07:58:00Z</dcterms:modified>
</cp:coreProperties>
</file>