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251BEC" w:rsidRDefault="006D58D9" w:rsidP="00F55547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</w:t>
      </w:r>
    </w:p>
    <w:p w:rsidR="00F55547" w:rsidRDefault="008E5BAE" w:rsidP="00F55547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251BEC" w:rsidRPr="00251BEC">
        <w:rPr>
          <w:rFonts w:ascii="Sylfaen" w:hAnsi="Sylfaen"/>
          <w:b/>
          <w:bCs/>
          <w:lang w:val="ka-GE"/>
        </w:rPr>
        <w:t>HPE Hyper Converged</w:t>
      </w:r>
      <w:r w:rsidR="00251BEC" w:rsidRPr="00251BEC">
        <w:rPr>
          <w:rFonts w:ascii="Sylfaen" w:hAnsi="Sylfaen"/>
          <w:bCs/>
          <w:lang w:val="ka-GE"/>
        </w:rPr>
        <w:t xml:space="preserve"> სისტემის შესყიდვაზე </w:t>
      </w:r>
      <w:r w:rsidR="00F55547" w:rsidRPr="00F55547">
        <w:rPr>
          <w:rFonts w:ascii="Sylfaen" w:hAnsi="Sylfaen"/>
          <w:bCs/>
          <w:lang w:val="ka-GE"/>
        </w:rPr>
        <w:t>და თანმდევი მომსახურებაზე</w:t>
      </w:r>
      <w:r w:rsidR="00251BEC">
        <w:rPr>
          <w:rFonts w:ascii="Sylfaen" w:hAnsi="Sylfaen"/>
          <w:bCs/>
          <w:lang w:val="ka-GE"/>
        </w:rPr>
        <w:t>.</w:t>
      </w:r>
    </w:p>
    <w:p w:rsidR="00251BEC" w:rsidRDefault="00251BEC" w:rsidP="00F55547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რაოდენობა: 12(თორმეტი) ერთეული</w:t>
      </w:r>
    </w:p>
    <w:p w:rsidR="00251BEC" w:rsidRDefault="00251BEC" w:rsidP="00F55547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ერთეულის კონფიგურაცია:</w:t>
      </w:r>
    </w:p>
    <w:tbl>
      <w:tblPr>
        <w:tblW w:w="89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835"/>
      </w:tblGrid>
      <w:tr w:rsidR="00251BEC" w:rsidRPr="002F231B" w:rsidTr="007268EF">
        <w:trPr>
          <w:trHeight w:val="311"/>
        </w:trPr>
        <w:tc>
          <w:tcPr>
            <w:tcW w:w="2075" w:type="dxa"/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6835" w:type="dxa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HPE Hyper Converged 380 for VDI</w:t>
            </w:r>
          </w:p>
        </w:tc>
      </w:tr>
      <w:tr w:rsidR="00251BEC" w:rsidRPr="002F231B" w:rsidTr="007268EF">
        <w:trPr>
          <w:trHeight w:val="252"/>
        </w:trPr>
        <w:tc>
          <w:tcPr>
            <w:tcW w:w="2075" w:type="dxa"/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CPUs</w:t>
            </w:r>
          </w:p>
        </w:tc>
        <w:tc>
          <w:tcPr>
            <w:tcW w:w="6835" w:type="dxa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2 x Intel Xeon E5-2697Av4</w:t>
            </w:r>
          </w:p>
        </w:tc>
      </w:tr>
      <w:tr w:rsidR="00251BEC" w:rsidRPr="002F231B" w:rsidTr="007268EF">
        <w:trPr>
          <w:trHeight w:val="283"/>
        </w:trPr>
        <w:tc>
          <w:tcPr>
            <w:tcW w:w="2075" w:type="dxa"/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</w:rPr>
              <w:t>RAM</w:t>
            </w:r>
          </w:p>
        </w:tc>
        <w:tc>
          <w:tcPr>
            <w:tcW w:w="6835" w:type="dxa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512GB (16 x 32GB) Dual Rank x4 PC4-2400T Registered DIMMs</w:t>
            </w:r>
          </w:p>
        </w:tc>
      </w:tr>
      <w:tr w:rsidR="00251BEC" w:rsidRPr="002F231B" w:rsidTr="007268EF">
        <w:trPr>
          <w:trHeight w:val="101"/>
        </w:trPr>
        <w:tc>
          <w:tcPr>
            <w:tcW w:w="2075" w:type="dxa"/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</w:rPr>
              <w:t>RAID Controllers</w:t>
            </w:r>
          </w:p>
        </w:tc>
        <w:tc>
          <w:tcPr>
            <w:tcW w:w="6835" w:type="dxa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1 x HPE Smart Array P440ar/2G FIO Controller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1 x HPE Smart Array P440/4G Controller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1 x HPE Smart Array P840/4G Controller</w:t>
            </w:r>
          </w:p>
        </w:tc>
      </w:tr>
      <w:tr w:rsidR="00251BEC" w:rsidRPr="002F231B" w:rsidTr="007268EF">
        <w:trPr>
          <w:trHeight w:val="101"/>
        </w:trPr>
        <w:tc>
          <w:tcPr>
            <w:tcW w:w="2075" w:type="dxa"/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Drives</w:t>
            </w:r>
          </w:p>
        </w:tc>
        <w:tc>
          <w:tcPr>
            <w:tcW w:w="6835" w:type="dxa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2 x HPE 240GB 6G SATA Read Intensive SFF SSD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4 x HPE 800GB 6G SATA Write Intensive SFF SSD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12 x HPE 1.2TB 12G SAS 10K SFF HDD</w:t>
            </w:r>
          </w:p>
        </w:tc>
      </w:tr>
      <w:tr w:rsidR="00251BEC" w:rsidRPr="002F231B" w:rsidTr="007268EF">
        <w:trPr>
          <w:trHeight w:val="10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</w:rPr>
              <w:t>Ethernet Adapters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1 x HPE 1Gb Ethernet 4-port 331i Adapter (Embedded)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1 x HPE 10Gb Ethernet 2-port 560FLR-SFP+ Adapter</w:t>
            </w:r>
          </w:p>
        </w:tc>
      </w:tr>
      <w:tr w:rsidR="00251BEC" w:rsidRPr="002F231B" w:rsidTr="007268EF">
        <w:trPr>
          <w:trHeight w:val="101"/>
        </w:trPr>
        <w:tc>
          <w:tcPr>
            <w:tcW w:w="2075" w:type="dxa"/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</w:rPr>
              <w:t>Rack Kit</w:t>
            </w:r>
          </w:p>
        </w:tc>
        <w:tc>
          <w:tcPr>
            <w:tcW w:w="6835" w:type="dxa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1 x HPE 2U SFF Easy Install Rail Kit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1 x HPE 2U Cable Management Arm for Easy Install Rail Kit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1 x HPE 2U Security Bezel Kit</w:t>
            </w:r>
          </w:p>
        </w:tc>
      </w:tr>
      <w:tr w:rsidR="00251BEC" w:rsidRPr="002F231B" w:rsidTr="007268EF">
        <w:trPr>
          <w:trHeight w:val="32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Management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HPE System Insight Display Kit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HPE iLO Advanced License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HPE HC 380 Base Software</w:t>
            </w:r>
          </w:p>
        </w:tc>
      </w:tr>
      <w:tr w:rsidR="00251BEC" w:rsidRPr="002F231B" w:rsidTr="007268EF">
        <w:trPr>
          <w:trHeight w:val="10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Power Supplies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2 x HPE 800W Flex Slot Platinum Hot Plug Power Supply Kit</w:t>
            </w:r>
          </w:p>
        </w:tc>
      </w:tr>
      <w:tr w:rsidR="00251BEC" w:rsidRPr="002F231B" w:rsidTr="007268EF">
        <w:trPr>
          <w:trHeight w:val="147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Transceivers &amp; Cables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2 x Pro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2F231B">
              <w:rPr>
                <w:rFonts w:cstheme="minorHAnsi"/>
                <w:color w:val="000000"/>
                <w:sz w:val="24"/>
                <w:szCs w:val="24"/>
              </w:rPr>
              <w:t>Labs 10GbE SR SFP+ Transceiver (HPE Server Compatible)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2 x Pro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2F231B">
              <w:rPr>
                <w:rFonts w:cstheme="minorHAnsi"/>
                <w:color w:val="000000"/>
                <w:sz w:val="24"/>
                <w:szCs w:val="24"/>
              </w:rPr>
              <w:t>Labs 10GbE SR SFP+ Transceiver (Cisco Nexus Compatible)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1 x Pro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2F231B">
              <w:rPr>
                <w:rFonts w:cstheme="minorHAnsi"/>
                <w:color w:val="000000"/>
                <w:sz w:val="24"/>
                <w:szCs w:val="24"/>
              </w:rPr>
              <w:t>Labs 10-meter Multi-mode OM3 LC/LC Duplex Optical Cable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</w:rPr>
              <w:t>1 x Pro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2F231B">
              <w:rPr>
                <w:rFonts w:cstheme="minorHAnsi"/>
                <w:color w:val="000000"/>
                <w:sz w:val="24"/>
                <w:szCs w:val="24"/>
              </w:rPr>
              <w:t>Labs 15-meter Multi-mode OM3 LC/LC Duplex Optical Cable</w:t>
            </w:r>
          </w:p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2 x HPE 0.7m 10A C13-C14 Power Cord</w:t>
            </w:r>
          </w:p>
        </w:tc>
      </w:tr>
      <w:tr w:rsidR="00251BEC" w:rsidRPr="002F231B" w:rsidTr="007268EF">
        <w:trPr>
          <w:trHeight w:val="35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Warranty </w:t>
            </w:r>
            <w:r w:rsidRPr="002F231B">
              <w:rPr>
                <w:rFonts w:cstheme="minorHAnsi"/>
                <w:b/>
                <w:color w:val="000000"/>
                <w:sz w:val="24"/>
                <w:szCs w:val="24"/>
              </w:rPr>
              <w:t>Support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 xml:space="preserve">HPE 3-Years NBD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Care </w:t>
            </w:r>
            <w:r w:rsidRPr="002F231B">
              <w:rPr>
                <w:rFonts w:cstheme="minorHAnsi"/>
                <w:color w:val="000000"/>
                <w:sz w:val="24"/>
                <w:szCs w:val="24"/>
                <w:lang w:val="ka-GE"/>
              </w:rPr>
              <w:t>Service</w:t>
            </w:r>
          </w:p>
        </w:tc>
      </w:tr>
      <w:tr w:rsidR="00251BEC" w:rsidRPr="002F231B" w:rsidTr="007268EF">
        <w:trPr>
          <w:trHeight w:val="61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C" w:rsidRPr="002F231B" w:rsidRDefault="00251BEC" w:rsidP="0072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231B">
              <w:rPr>
                <w:rFonts w:cstheme="minorHAnsi"/>
                <w:b/>
                <w:color w:val="000000"/>
                <w:sz w:val="24"/>
                <w:szCs w:val="24"/>
              </w:rPr>
              <w:t xml:space="preserve">Installation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C" w:rsidRPr="002F231B" w:rsidRDefault="00251BEC" w:rsidP="0093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ka-GE"/>
              </w:rPr>
            </w:pPr>
            <w:r w:rsidRPr="002F231B">
              <w:rPr>
                <w:rFonts w:ascii="Sylfaen" w:hAnsi="Sylfaen" w:cs="Sylfaen"/>
                <w:color w:val="000000"/>
                <w:lang w:val="ka-GE"/>
              </w:rPr>
              <w:t>სისტემების</w:t>
            </w:r>
            <w:r w:rsidRPr="002F231B">
              <w:rPr>
                <w:rFonts w:cstheme="minorHAnsi"/>
                <w:color w:val="000000"/>
                <w:lang w:val="ka-GE"/>
              </w:rPr>
              <w:t xml:space="preserve"> </w:t>
            </w:r>
            <w:r w:rsidR="00935F62">
              <w:rPr>
                <w:rFonts w:ascii="Sylfaen" w:hAnsi="Sylfaen" w:cstheme="minorHAnsi"/>
                <w:color w:val="000000"/>
                <w:lang w:val="ka-GE"/>
              </w:rPr>
              <w:t xml:space="preserve">გამართვა, </w:t>
            </w:r>
            <w:r w:rsidRPr="002F231B">
              <w:rPr>
                <w:rFonts w:ascii="Sylfaen" w:hAnsi="Sylfaen" w:cs="Sylfaen"/>
                <w:color w:val="000000"/>
                <w:lang w:val="ka-GE"/>
              </w:rPr>
              <w:t>ინსტალაცია</w:t>
            </w:r>
            <w:r w:rsidRPr="002F231B">
              <w:rPr>
                <w:rFonts w:cstheme="minorHAnsi"/>
                <w:color w:val="000000"/>
                <w:lang w:val="ka-GE"/>
              </w:rPr>
              <w:t xml:space="preserve"> </w:t>
            </w:r>
            <w:r w:rsidR="00935F62">
              <w:rPr>
                <w:rFonts w:ascii="Sylfaen" w:hAnsi="Sylfaen" w:cstheme="minorHAnsi"/>
                <w:color w:val="000000"/>
                <w:lang w:val="ka-GE"/>
              </w:rPr>
              <w:t xml:space="preserve">და კონფიგურაცია </w:t>
            </w:r>
            <w:r w:rsidRPr="002F231B">
              <w:rPr>
                <w:rFonts w:ascii="Sylfaen" w:hAnsi="Sylfaen" w:cs="Sylfaen"/>
                <w:color w:val="000000"/>
                <w:lang w:val="ka-GE"/>
              </w:rPr>
              <w:t>ბანკის</w:t>
            </w:r>
            <w:r w:rsidRPr="002F231B">
              <w:rPr>
                <w:rFonts w:cstheme="minorHAnsi"/>
                <w:color w:val="000000"/>
                <w:lang w:val="ka-GE"/>
              </w:rPr>
              <w:t xml:space="preserve"> </w:t>
            </w:r>
            <w:r w:rsidRPr="002F231B">
              <w:rPr>
                <w:rFonts w:ascii="Sylfaen" w:hAnsi="Sylfaen" w:cs="Sylfaen"/>
                <w:color w:val="000000"/>
                <w:lang w:val="ka-GE"/>
              </w:rPr>
              <w:t>მონაცემთა</w:t>
            </w:r>
            <w:r w:rsidRPr="002F231B">
              <w:rPr>
                <w:rFonts w:cstheme="minorHAnsi"/>
                <w:color w:val="000000"/>
                <w:lang w:val="ka-GE"/>
              </w:rPr>
              <w:t xml:space="preserve"> </w:t>
            </w:r>
            <w:r w:rsidRPr="002F231B">
              <w:rPr>
                <w:rFonts w:ascii="Sylfaen" w:hAnsi="Sylfaen" w:cs="Sylfaen"/>
                <w:color w:val="000000"/>
                <w:lang w:val="ka-GE"/>
              </w:rPr>
              <w:t>ცენტრ</w:t>
            </w:r>
            <w:r w:rsidR="00935F62">
              <w:rPr>
                <w:rFonts w:ascii="Sylfaen" w:hAnsi="Sylfaen" w:cs="Sylfaen"/>
                <w:color w:val="000000"/>
                <w:lang w:val="ka-GE"/>
              </w:rPr>
              <w:t>ებ</w:t>
            </w:r>
            <w:r w:rsidRPr="002F231B">
              <w:rPr>
                <w:rFonts w:ascii="Sylfaen" w:hAnsi="Sylfaen" w:cs="Sylfaen"/>
                <w:color w:val="000000"/>
                <w:lang w:val="ka-GE"/>
              </w:rPr>
              <w:t>ში</w:t>
            </w:r>
            <w:r w:rsidR="00935F62">
              <w:rPr>
                <w:rFonts w:cstheme="minorHAnsi"/>
                <w:color w:val="000000"/>
                <w:lang w:val="ka-GE"/>
              </w:rPr>
              <w:t>.</w:t>
            </w:r>
          </w:p>
        </w:tc>
      </w:tr>
    </w:tbl>
    <w:p w:rsidR="00F55547" w:rsidRDefault="00F55547" w:rsidP="00F55547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="0041457F">
        <w:rPr>
          <w:rFonts w:ascii="Sylfaen" w:hAnsi="Sylfaen"/>
          <w:lang w:val="ka-GE"/>
        </w:rPr>
        <w:t>ის</w:t>
      </w:r>
      <w:r w:rsidRPr="0098394A">
        <w:rPr>
          <w:rFonts w:ascii="AcadNusx" w:hAnsi="AcadNusx"/>
        </w:rPr>
        <w:t xml:space="preserve">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lastRenderedPageBreak/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935F62">
        <w:rPr>
          <w:rFonts w:ascii="Sylfaen" w:hAnsi="Sylfaen" w:cs="Sylfaen"/>
          <w:bCs/>
          <w:lang w:val="ka-GE"/>
        </w:rPr>
        <w:t>45</w:t>
      </w:r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98394A" w:rsidRDefault="0098394A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</w:rPr>
      </w:pPr>
    </w:p>
    <w:p w:rsidR="0098394A" w:rsidRDefault="0098394A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</w:rPr>
      </w:pPr>
    </w:p>
    <w:p w:rsidR="007B3EC6" w:rsidRDefault="007B3EC6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A84519">
        <w:rPr>
          <w:rFonts w:ascii="Sylfaen" w:hAnsi="Sylfaen"/>
          <w:bCs/>
          <w:lang w:val="ka-GE"/>
        </w:rPr>
        <w:t xml:space="preserve"> 30</w:t>
      </w:r>
      <w:r w:rsidR="00797824">
        <w:rPr>
          <w:rFonts w:ascii="Sylfaen" w:hAnsi="Sylfaen"/>
          <w:bCs/>
          <w:lang w:val="ka-GE"/>
        </w:rPr>
        <w:t xml:space="preserve"> </w:t>
      </w:r>
      <w:r w:rsidR="00A84519">
        <w:rPr>
          <w:rFonts w:ascii="Sylfaen" w:hAnsi="Sylfaen"/>
          <w:bCs/>
          <w:lang w:val="ka-GE"/>
        </w:rPr>
        <w:t>ივნისიდან</w:t>
      </w:r>
      <w:r w:rsidR="0025786D">
        <w:rPr>
          <w:rFonts w:ascii="Sylfaen" w:hAnsi="Sylfaen"/>
          <w:bCs/>
          <w:lang w:val="ka-GE"/>
        </w:rPr>
        <w:t xml:space="preserve"> 2017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A84519">
        <w:rPr>
          <w:rFonts w:ascii="Sylfaen" w:hAnsi="Sylfaen"/>
          <w:bCs/>
          <w:lang w:val="ka-GE"/>
        </w:rPr>
        <w:t>10</w:t>
      </w:r>
      <w:r w:rsidR="00936FBD">
        <w:rPr>
          <w:rFonts w:ascii="Sylfaen" w:hAnsi="Sylfaen"/>
          <w:bCs/>
          <w:lang w:val="ka-GE"/>
        </w:rPr>
        <w:t xml:space="preserve"> </w:t>
      </w:r>
      <w:r w:rsidR="00A84519">
        <w:rPr>
          <w:rFonts w:ascii="Sylfaen" w:hAnsi="Sylfaen"/>
          <w:bCs/>
          <w:lang w:val="ka-GE"/>
        </w:rPr>
        <w:t>ივლისის</w:t>
      </w:r>
      <w:r w:rsidR="00936FBD">
        <w:rPr>
          <w:rFonts w:ascii="Sylfaen" w:hAnsi="Sylfaen"/>
          <w:bCs/>
          <w:lang w:val="ka-GE"/>
        </w:rPr>
        <w:t xml:space="preserve"> </w:t>
      </w:r>
      <w:r w:rsidR="0070741B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25786D" w:rsidRDefault="00D45F10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021EAD">
        <w:rPr>
          <w:rFonts w:ascii="Sylfaen" w:hAnsi="Sylfaen"/>
          <w:b/>
          <w:bCs/>
          <w:lang w:val="ka-GE"/>
        </w:rPr>
        <w:t xml:space="preserve"> </w:t>
      </w:r>
      <w:r w:rsidR="00251BEC">
        <w:rPr>
          <w:rFonts w:ascii="Sylfaen" w:hAnsi="Sylfaen"/>
          <w:b/>
          <w:bCs/>
          <w:lang w:val="ka-GE"/>
        </w:rPr>
        <w:t>ლევან ჯიქია</w:t>
      </w:r>
      <w:r w:rsidR="0033596F">
        <w:rPr>
          <w:rFonts w:ascii="Sylfaen" w:hAnsi="Sylfaen"/>
          <w:b/>
          <w:bCs/>
          <w:lang w:val="ka-GE"/>
        </w:rPr>
        <w:t xml:space="preserve">ს, </w:t>
      </w:r>
      <w:r w:rsidR="00251BEC">
        <w:rPr>
          <w:rFonts w:ascii="Sylfaen" w:hAnsi="Sylfaen"/>
        </w:rPr>
        <w:t>ljikia@bog.ge</w:t>
      </w:r>
      <w:r w:rsidR="007B3EC6">
        <w:rPr>
          <w:rFonts w:ascii="Sylfaen" w:hAnsi="Sylfaen"/>
          <w:b/>
          <w:bCs/>
        </w:rPr>
        <w:t xml:space="preserve"> </w:t>
      </w:r>
      <w:r w:rsidR="007B3EC6" w:rsidRPr="007B3EC6">
        <w:rPr>
          <w:rFonts w:ascii="Sylfaen" w:hAnsi="Sylfaen"/>
          <w:b/>
          <w:bCs/>
          <w:lang w:val="ka-GE"/>
        </w:rPr>
        <w:t>+995 (5</w:t>
      </w:r>
      <w:r w:rsidR="00251BEC">
        <w:rPr>
          <w:rFonts w:ascii="Sylfaen" w:hAnsi="Sylfaen"/>
          <w:b/>
          <w:bCs/>
        </w:rPr>
        <w:t>77</w:t>
      </w:r>
      <w:r w:rsidR="007B3EC6" w:rsidRPr="007B3EC6">
        <w:rPr>
          <w:rFonts w:ascii="Sylfaen" w:hAnsi="Sylfaen"/>
          <w:b/>
          <w:bCs/>
          <w:lang w:val="ka-GE"/>
        </w:rPr>
        <w:t xml:space="preserve">) </w:t>
      </w:r>
      <w:r w:rsidR="00251BEC">
        <w:rPr>
          <w:rFonts w:ascii="Sylfaen" w:hAnsi="Sylfaen"/>
          <w:b/>
          <w:bCs/>
        </w:rPr>
        <w:t>474 484</w:t>
      </w:r>
      <w:r w:rsidR="0025786D">
        <w:rPr>
          <w:rFonts w:ascii="Sylfaen" w:hAnsi="Sylfaen"/>
          <w:b/>
          <w:bCs/>
          <w:lang w:val="ka-GE"/>
        </w:rPr>
        <w:t xml:space="preserve"> </w:t>
      </w:r>
    </w:p>
    <w:sectPr w:rsidR="008B396C" w:rsidRPr="0025786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0F198B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B0A3B"/>
    <w:rsid w:val="001B48B7"/>
    <w:rsid w:val="001D4A7F"/>
    <w:rsid w:val="001E3301"/>
    <w:rsid w:val="00251BEC"/>
    <w:rsid w:val="0025786D"/>
    <w:rsid w:val="0027576F"/>
    <w:rsid w:val="00277934"/>
    <w:rsid w:val="002A331A"/>
    <w:rsid w:val="002C7891"/>
    <w:rsid w:val="002D35E9"/>
    <w:rsid w:val="002E128A"/>
    <w:rsid w:val="002E5E8C"/>
    <w:rsid w:val="00302D0C"/>
    <w:rsid w:val="00324FD6"/>
    <w:rsid w:val="00331AA4"/>
    <w:rsid w:val="0033596F"/>
    <w:rsid w:val="0034703A"/>
    <w:rsid w:val="00355E7E"/>
    <w:rsid w:val="00364B1A"/>
    <w:rsid w:val="003657DB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1457F"/>
    <w:rsid w:val="00431105"/>
    <w:rsid w:val="00442B97"/>
    <w:rsid w:val="00444D4A"/>
    <w:rsid w:val="004522A1"/>
    <w:rsid w:val="004525AE"/>
    <w:rsid w:val="00490433"/>
    <w:rsid w:val="004C0E67"/>
    <w:rsid w:val="004C3AB1"/>
    <w:rsid w:val="004C7CAD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83325"/>
    <w:rsid w:val="006B3704"/>
    <w:rsid w:val="006C736A"/>
    <w:rsid w:val="006D58D9"/>
    <w:rsid w:val="006E284E"/>
    <w:rsid w:val="0070741B"/>
    <w:rsid w:val="007168D7"/>
    <w:rsid w:val="00754669"/>
    <w:rsid w:val="00772F33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53D26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35F62"/>
    <w:rsid w:val="00936FBD"/>
    <w:rsid w:val="009425F6"/>
    <w:rsid w:val="0095327F"/>
    <w:rsid w:val="00956A2B"/>
    <w:rsid w:val="009609A4"/>
    <w:rsid w:val="009626B2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84519"/>
    <w:rsid w:val="00AB4F7A"/>
    <w:rsid w:val="00B00C4D"/>
    <w:rsid w:val="00B07338"/>
    <w:rsid w:val="00B11A5E"/>
    <w:rsid w:val="00B31E12"/>
    <w:rsid w:val="00B368CC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61FB8"/>
    <w:rsid w:val="00C72EF1"/>
    <w:rsid w:val="00C84D89"/>
    <w:rsid w:val="00CA3ECC"/>
    <w:rsid w:val="00CA4420"/>
    <w:rsid w:val="00CB06B7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642E4"/>
    <w:rsid w:val="00EC01FF"/>
    <w:rsid w:val="00ED30C5"/>
    <w:rsid w:val="00F17E73"/>
    <w:rsid w:val="00F46FAF"/>
    <w:rsid w:val="00F5120E"/>
    <w:rsid w:val="00F55547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F55A-CF96-4753-A65E-DC4D667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2017-06-30T07:01:00Z</dcterms:created>
  <dcterms:modified xsi:type="dcterms:W3CDTF">2017-06-30T07:01:00Z</dcterms:modified>
</cp:coreProperties>
</file>