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620"/>
        <w:gridCol w:w="2500"/>
        <w:gridCol w:w="4967"/>
        <w:gridCol w:w="548"/>
        <w:gridCol w:w="1620"/>
      </w:tblGrid>
      <w:tr w:rsidR="00694FB5" w:rsidRPr="00694FB5" w:rsidTr="00694FB5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 Number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Delivery Time</w:t>
            </w:r>
          </w:p>
        </w:tc>
      </w:tr>
      <w:tr w:rsidR="00694FB5" w:rsidRPr="00694FB5" w:rsidTr="00694F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V-VMPPLS- VS-P0000-00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Veeam Management Pack Enterprise Plus for VMware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Week</w:t>
            </w:r>
          </w:p>
        </w:tc>
      </w:tr>
      <w:tr w:rsidR="00694FB5" w:rsidRPr="00694FB5" w:rsidTr="00694FB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V-VMPPLS- VS-P02YP-00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additional years of Basic maintenance prepaid for Veeam Management Pack Enterprise Plus for VMware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FB5" w:rsidRPr="00694FB5" w:rsidRDefault="00694FB5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Week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51432D">
        <w:rPr>
          <w:rFonts w:ascii="Sylfaen" w:hAnsi="Sylfaen" w:cs="Sylfaen"/>
          <w:bCs/>
        </w:rPr>
        <w:t>1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 xml:space="preserve">6 დეკემბრიდან </w:t>
      </w:r>
      <w:r w:rsidR="0025786D" w:rsidRPr="00E147EF">
        <w:rPr>
          <w:rFonts w:ascii="Sylfaen" w:hAnsi="Sylfaen"/>
          <w:bCs/>
          <w:lang w:val="ka-GE"/>
        </w:rPr>
        <w:t>2017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</w:rPr>
        <w:t>13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>დეკემბრის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586285" w:rsidRDefault="0051432D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ზვიად ყვირალაშვილს </w:t>
      </w:r>
      <w:hyperlink r:id="rId9" w:history="1">
        <w:r w:rsidRPr="007D429B">
          <w:rPr>
            <w:rStyle w:val="Hyperlink"/>
            <w:rFonts w:ascii="Sylfaen" w:hAnsi="Sylfaen"/>
            <w:b/>
            <w:bCs/>
            <w:lang w:val="ka-GE"/>
          </w:rPr>
          <w:t>zkviralashvili@bog.ge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1432D">
        <w:rPr>
          <w:rFonts w:ascii="Sylfaen" w:hAnsi="Sylfaen"/>
          <w:b/>
          <w:bCs/>
          <w:lang w:val="ka-GE"/>
        </w:rPr>
        <w:t>+995 558 111113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694FB5" w:rsidRDefault="005C2187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6F" w:rsidRDefault="0049676F" w:rsidP="00CF75CA">
      <w:pPr>
        <w:spacing w:after="0" w:line="240" w:lineRule="auto"/>
      </w:pPr>
      <w:r>
        <w:separator/>
      </w:r>
    </w:p>
  </w:endnote>
  <w:endnote w:type="continuationSeparator" w:id="0">
    <w:p w:rsidR="0049676F" w:rsidRDefault="0049676F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6F" w:rsidRDefault="0049676F" w:rsidP="00CF75CA">
      <w:pPr>
        <w:spacing w:after="0" w:line="240" w:lineRule="auto"/>
      </w:pPr>
      <w:r>
        <w:separator/>
      </w:r>
    </w:p>
  </w:footnote>
  <w:footnote w:type="continuationSeparator" w:id="0">
    <w:p w:rsidR="0049676F" w:rsidRDefault="0049676F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9676F"/>
    <w:rsid w:val="004C0E67"/>
    <w:rsid w:val="004C3AB1"/>
    <w:rsid w:val="004C7CAD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147EF"/>
    <w:rsid w:val="00E642E4"/>
    <w:rsid w:val="00EC01FF"/>
    <w:rsid w:val="00ED30C5"/>
    <w:rsid w:val="00F17E73"/>
    <w:rsid w:val="00F3144D"/>
    <w:rsid w:val="00F46FAF"/>
    <w:rsid w:val="00F5120E"/>
    <w:rsid w:val="00F8140A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viral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8280-967F-4AF4-8A4C-8CFD96FE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2017-12-06T07:38:00Z</dcterms:created>
  <dcterms:modified xsi:type="dcterms:W3CDTF">2017-12-06T07:38:00Z</dcterms:modified>
</cp:coreProperties>
</file>