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67C99">
        <w:rPr>
          <w:rFonts w:ascii="Sylfaen" w:hAnsi="Sylfaen"/>
          <w:bCs/>
          <w:lang w:val="ka-GE"/>
        </w:rPr>
        <w:t>ბრონირებული ფირის შესყიდვასა და სათაო ოფისისა და სერვის ცენტრების მინების დაბურვის მომსახურებაზე</w:t>
      </w:r>
      <w:r w:rsidR="00B27CB4">
        <w:rPr>
          <w:rFonts w:ascii="Sylfaen" w:hAnsi="Sylfaen"/>
          <w:bCs/>
          <w:lang w:val="ka-GE"/>
        </w:rPr>
        <w:t>;</w:t>
      </w:r>
    </w:p>
    <w:p w:rsidR="00E642E4" w:rsidRPr="00832D9C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250"/>
        <w:gridCol w:w="1264"/>
        <w:gridCol w:w="2053"/>
      </w:tblGrid>
      <w:tr w:rsidR="008B0308" w:rsidRPr="008B0308" w:rsidTr="009665AA">
        <w:trPr>
          <w:trHeight w:val="270"/>
        </w:trPr>
        <w:tc>
          <w:tcPr>
            <w:tcW w:w="493" w:type="dxa"/>
            <w:shd w:val="clear" w:color="000000" w:fill="D9D9D9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250" w:type="dxa"/>
            <w:shd w:val="clear" w:color="000000" w:fill="D9D9D9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r w:rsidRPr="008B0308">
              <w:rPr>
                <w:rFonts w:ascii="Calibri" w:eastAsia="Times New Roman" w:hAnsi="Calibri" w:cs="Calibri"/>
                <w:color w:val="000000"/>
              </w:rPr>
              <w:t>/</w:t>
            </w:r>
            <w:r w:rsidRPr="008B0308">
              <w:rPr>
                <w:rFonts w:ascii="Sylfaen" w:eastAsia="Times New Roman" w:hAnsi="Sylfaen" w:cs="Calibri"/>
                <w:color w:val="000000"/>
              </w:rPr>
              <w:t>აღწერა</w:t>
            </w:r>
          </w:p>
        </w:tc>
        <w:tc>
          <w:tcPr>
            <w:tcW w:w="1264" w:type="dxa"/>
            <w:shd w:val="clear" w:color="000000" w:fill="D9D9D9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ოდენობა</w:t>
            </w:r>
          </w:p>
        </w:tc>
        <w:tc>
          <w:tcPr>
            <w:tcW w:w="2053" w:type="dxa"/>
            <w:shd w:val="clear" w:color="000000" w:fill="D9D9D9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საფასური ლარში</w:t>
            </w:r>
          </w:p>
        </w:tc>
      </w:tr>
      <w:tr w:rsidR="008B0308" w:rsidRPr="008B0308" w:rsidTr="009665AA">
        <w:trPr>
          <w:trHeight w:val="539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მინის შესაფუთი 200 მიკრონიანი ბრონირებული ფირი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კვ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0308" w:rsidRPr="008B0308" w:rsidTr="009665AA">
        <w:trPr>
          <w:trHeight w:val="539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მინის შესაფუთი 300 მიკრონიანი ბრონირებული ფირი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კვ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0308" w:rsidRPr="008B0308" w:rsidTr="009665AA">
        <w:trPr>
          <w:trHeight w:val="270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  <w:lang w:val="ka-GE"/>
              </w:rPr>
              <w:t>მინის შესაფუთი თეთრი, ნახევრად გამჭვირვალე ფირი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კვ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0308" w:rsidRPr="008B0308" w:rsidTr="009665AA">
        <w:trPr>
          <w:trHeight w:val="270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  <w:lang w:val="ka-GE"/>
              </w:rPr>
              <w:t>მინის შესაფუთი შავი, 95 %-იანი ფირი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კვ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0308" w:rsidRPr="008B0308" w:rsidTr="009665AA">
        <w:trPr>
          <w:trHeight w:val="270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>მინიდან მინის შესაფუთი ფირის დემონტაჯი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კვ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0308" w:rsidRPr="008B0308" w:rsidTr="009665AA">
        <w:trPr>
          <w:trHeight w:val="539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B0308">
              <w:rPr>
                <w:rFonts w:ascii="Sylfaen" w:eastAsia="Times New Roman" w:hAnsi="Sylfaen" w:cs="Calibri"/>
                <w:color w:val="000000"/>
              </w:rPr>
              <w:t xml:space="preserve">ტრანსპორტირების საფასური </w:t>
            </w:r>
            <w:r w:rsidRPr="008B03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0308">
              <w:rPr>
                <w:rFonts w:ascii="Sylfaen" w:eastAsia="Times New Roman" w:hAnsi="Sylfaen" w:cs="Calibri"/>
                <w:color w:val="000000"/>
              </w:rPr>
              <w:t xml:space="preserve">თბილისიდან </w:t>
            </w:r>
            <w:r w:rsidRPr="008B0308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r w:rsidRPr="008B0308">
              <w:rPr>
                <w:rFonts w:ascii="Sylfaen" w:eastAsia="Times New Roman" w:hAnsi="Sylfaen" w:cs="Calibri"/>
                <w:color w:val="000000"/>
              </w:rPr>
              <w:t>კმ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.-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ზე</w:t>
            </w:r>
            <w:r w:rsidRPr="008B03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მეტი</w:t>
            </w:r>
            <w:r w:rsidRPr="008B03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დაშორებით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8B0308">
              <w:rPr>
                <w:rFonts w:ascii="Sylfaen" w:eastAsia="Times New Roman" w:hAnsi="Sylfaen" w:cs="Sylfaen"/>
                <w:color w:val="000000"/>
              </w:rPr>
              <w:t>კმ</w:t>
            </w:r>
            <w:r w:rsidRPr="008B030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8B0308" w:rsidRPr="008B0308" w:rsidRDefault="008B0308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3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65AA" w:rsidRPr="008B0308" w:rsidTr="009665AA">
        <w:trPr>
          <w:trHeight w:val="539"/>
        </w:trPr>
        <w:tc>
          <w:tcPr>
            <w:tcW w:w="493" w:type="dxa"/>
            <w:shd w:val="clear" w:color="auto" w:fill="auto"/>
            <w:noWrap/>
            <w:vAlign w:val="center"/>
          </w:tcPr>
          <w:p w:rsidR="009665AA" w:rsidRPr="008B0308" w:rsidRDefault="009665AA" w:rsidP="008B0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665AA" w:rsidRPr="009665AA" w:rsidRDefault="009665AA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მინის შესაფუთი თეთრი, გაუმჭვირვალე ფირი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9665AA" w:rsidRPr="009665AA" w:rsidRDefault="009665AA" w:rsidP="008B030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კვ.მ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9665AA" w:rsidRPr="008B0308" w:rsidRDefault="009665AA" w:rsidP="008B0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1682" w:rsidRDefault="00DF1682" w:rsidP="00DF168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შეკვეთის სიხშირე დაახლოებით თვეში 2-3 ფილიალი (20-30 კვ.მ);</w:t>
      </w:r>
    </w:p>
    <w:p w:rsidR="00DF1682" w:rsidRPr="008B0308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8B0308">
        <w:rPr>
          <w:rFonts w:ascii="Sylfaen" w:hAnsi="Sylfaen" w:cs="Sylfaen"/>
          <w:sz w:val="20"/>
          <w:szCs w:val="20"/>
          <w:lang w:val="ka-GE"/>
        </w:rPr>
        <w:t>ტენდერში მონაწილე კომპანიებმა უნდა წარმოადგინონ მოთხოვნილი ბრონირებული ფირების ნიმუშები, ნიმუშების მოწოდება უნდა მოხდეს ბანკის სათავო ოფისში (ქ. თბილისი, გაგარინის #29ა) გიორგი ბუქურის სახელზე 599565992</w:t>
      </w:r>
    </w:p>
    <w:p w:rsidR="008B0308" w:rsidRDefault="00DF1682" w:rsidP="008B0308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  <w:r w:rsidR="008B0308">
        <w:rPr>
          <w:rFonts w:ascii="Sylfaen" w:hAnsi="Sylfaen"/>
          <w:b/>
          <w:bCs/>
          <w:lang w:val="ka-GE"/>
        </w:rPr>
        <w:t xml:space="preserve"> </w:t>
      </w:r>
    </w:p>
    <w:p w:rsidR="00DF1682" w:rsidRPr="00EE60FD" w:rsidRDefault="00DF1682" w:rsidP="008B0308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6F205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8B5BE8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B0308">
        <w:rPr>
          <w:rFonts w:ascii="Sylfaen" w:hAnsi="Sylfaen" w:cs="Sylfaen"/>
          <w:sz w:val="20"/>
          <w:szCs w:val="20"/>
        </w:rPr>
        <w:t>3</w:t>
      </w:r>
      <w:r w:rsidR="006F205C">
        <w:rPr>
          <w:rFonts w:ascii="Sylfaen" w:hAnsi="Sylfaen" w:cs="Sylfaen"/>
          <w:sz w:val="20"/>
          <w:szCs w:val="20"/>
        </w:rPr>
        <w:t xml:space="preserve"> </w:t>
      </w:r>
      <w:r w:rsidR="008B0308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8B5BE8">
        <w:rPr>
          <w:rFonts w:ascii="Sylfaen" w:hAnsi="Sylfaen" w:cs="Sylfaen"/>
          <w:sz w:val="20"/>
          <w:szCs w:val="20"/>
        </w:rPr>
        <w:t>8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1381A">
        <w:rPr>
          <w:rFonts w:ascii="Sylfaen" w:hAnsi="Sylfaen" w:cs="Sylfaen"/>
          <w:sz w:val="20"/>
          <w:szCs w:val="20"/>
          <w:lang w:val="ka-GE"/>
        </w:rPr>
        <w:t>1</w:t>
      </w:r>
      <w:r w:rsidR="00CD7FA9">
        <w:rPr>
          <w:rFonts w:ascii="Sylfaen" w:hAnsi="Sylfaen" w:cs="Sylfaen"/>
          <w:sz w:val="20"/>
          <w:szCs w:val="20"/>
        </w:rPr>
        <w:t>1</w:t>
      </w:r>
      <w:r w:rsidR="009138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B0308">
        <w:rPr>
          <w:rFonts w:ascii="Sylfaen" w:hAnsi="Sylfaen" w:cs="Sylfaen"/>
          <w:sz w:val="20"/>
          <w:szCs w:val="20"/>
          <w:lang w:val="ka-GE"/>
        </w:rPr>
        <w:t>იანვრის</w:t>
      </w:r>
      <w:r w:rsidR="009138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 </w:t>
      </w:r>
      <w:r w:rsidR="00F67C99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Pr="008B0308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/>
          <w:bCs/>
          <w:lang w:val="ka-GE"/>
        </w:rPr>
      </w:pPr>
      <w:r w:rsidRPr="008B0308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8B0308" w:rsidRPr="008B0308" w:rsidRDefault="008B0308" w:rsidP="008B0308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/>
          <w:bCs/>
          <w:lang w:val="ka-GE"/>
        </w:rPr>
      </w:pPr>
    </w:p>
    <w:p w:rsidR="00DF1682" w:rsidRPr="00DF1682" w:rsidRDefault="00DF1682" w:rsidP="003F6ECD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/>
          <w:bCs/>
          <w:sz w:val="24"/>
          <w:szCs w:val="24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</w:p>
    <w:sectPr w:rsidR="00DF1682" w:rsidRPr="00DF1682" w:rsidSect="00AE6F6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3"/>
  </w:num>
  <w:num w:numId="21">
    <w:abstractNumId w:val="23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2748B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3774"/>
    <w:rsid w:val="003B0B3A"/>
    <w:rsid w:val="003B204A"/>
    <w:rsid w:val="003C5F0E"/>
    <w:rsid w:val="003E7582"/>
    <w:rsid w:val="003F6ECD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6F205C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B0308"/>
    <w:rsid w:val="008B5BE8"/>
    <w:rsid w:val="008C274F"/>
    <w:rsid w:val="008C3FA2"/>
    <w:rsid w:val="008C6D00"/>
    <w:rsid w:val="008D6ABF"/>
    <w:rsid w:val="008E5BAE"/>
    <w:rsid w:val="008F010F"/>
    <w:rsid w:val="009008D0"/>
    <w:rsid w:val="0091381A"/>
    <w:rsid w:val="00927DB5"/>
    <w:rsid w:val="00933E22"/>
    <w:rsid w:val="009375AC"/>
    <w:rsid w:val="00954C9E"/>
    <w:rsid w:val="009609A4"/>
    <w:rsid w:val="00964662"/>
    <w:rsid w:val="009665AA"/>
    <w:rsid w:val="009813EB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D7FA9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2016-12-28T07:41:00Z</cp:lastPrinted>
  <dcterms:created xsi:type="dcterms:W3CDTF">2018-01-03T13:49:00Z</dcterms:created>
  <dcterms:modified xsi:type="dcterms:W3CDTF">2018-01-03T14:28:00Z</dcterms:modified>
</cp:coreProperties>
</file>