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2A1CAF" w:rsidRPr="007B66D2" w:rsidRDefault="00222315" w:rsidP="002A1CAF">
          <w:pPr>
            <w:spacing w:after="0"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7B66D2">
            <w:rPr>
              <w:rFonts w:asciiTheme="minorHAnsi" w:hAnsiTheme="minorHAnsi" w:cs="Arial"/>
              <w:b/>
              <w:sz w:val="20"/>
              <w:szCs w:val="20"/>
            </w:rPr>
            <w:t>GST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აცხადებს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კონკურსს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ღობის</w:t>
          </w:r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="007B66D2"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შესყიდვ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ის</w:t>
          </w:r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,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მონტაჟის</w:t>
          </w:r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და</w:t>
          </w:r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ჭიშკრის</w:t>
          </w:r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შესყიდვის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bookmarkStart w:id="0" w:name="_Toc456185562"/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თ</w:t>
          </w:r>
          <w:proofErr w:type="spellStart"/>
          <w:r w:rsidR="002A1CAF" w:rsidRPr="007B66D2">
            <w:rPr>
              <w:rFonts w:ascii="Sylfaen" w:hAnsi="Sylfaen" w:cs="Sylfaen"/>
              <w:b/>
              <w:bCs/>
              <w:sz w:val="20"/>
              <w:szCs w:val="20"/>
            </w:rPr>
            <w:t>აობაზე</w:t>
          </w:r>
          <w:proofErr w:type="spellEnd"/>
        </w:p>
        <w:p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3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A67348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B66D2">
        <w:rPr>
          <w:rFonts w:asciiTheme="minorHAnsi" w:hAnsiTheme="minorHAnsi" w:cs="Arial"/>
          <w:b/>
          <w:sz w:val="20"/>
          <w:szCs w:val="20"/>
        </w:rPr>
        <w:t xml:space="preserve">GST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აცხადებს</w:t>
      </w:r>
      <w:proofErr w:type="spellEnd"/>
      <w:r w:rsidRPr="007B66D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კონკურსს</w:t>
      </w:r>
      <w:proofErr w:type="spellEnd"/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ღობის</w:t>
      </w:r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მონტაჟის</w:t>
      </w:r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ჭიშკრის</w:t>
      </w:r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3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C56BEF" w:rsidRPr="007B66D2" w:rsidRDefault="00B3543E" w:rsidP="00C56BEF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  <w:lang w:val="ka-GE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proofErr w:type="spellEnd"/>
      <w:r w:rsidRPr="007B66D2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7B66D2">
        <w:rPr>
          <w:rStyle w:val="Heading2Char"/>
          <w:color w:val="auto"/>
          <w:sz w:val="20"/>
          <w:szCs w:val="20"/>
        </w:rPr>
        <w:t>”</w:t>
      </w:r>
      <w:r w:rsidRPr="007B66D2">
        <w:rPr>
          <w:rFonts w:ascii="AcadNusx" w:hAnsi="AcadNusx"/>
          <w:sz w:val="20"/>
          <w:szCs w:val="20"/>
        </w:rPr>
        <w:t xml:space="preserve"> (</w:t>
      </w:r>
      <w:r w:rsidR="007B66D2" w:rsidRPr="007B66D2">
        <w:rPr>
          <w:rFonts w:asciiTheme="minorHAnsi" w:hAnsiTheme="minorHAnsi"/>
          <w:sz w:val="20"/>
          <w:szCs w:val="20"/>
        </w:rPr>
        <w:t>GST</w:t>
      </w:r>
      <w:r w:rsidRPr="007B66D2">
        <w:rPr>
          <w:rFonts w:asciiTheme="minorHAnsi" w:hAnsiTheme="minorHAnsi"/>
          <w:sz w:val="20"/>
          <w:szCs w:val="20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7B66D2">
        <w:rPr>
          <w:rFonts w:ascii="AcadNusx" w:hAnsi="AcadNusx"/>
          <w:sz w:val="20"/>
          <w:szCs w:val="20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ღობის</w:t>
      </w:r>
      <w:r w:rsidR="007B66D2"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/>
          <w:b/>
          <w:sz w:val="20"/>
          <w:szCs w:val="20"/>
          <w:lang w:val="ka-GE"/>
        </w:rPr>
        <w:t>შესყიდვ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7B66D2" w:rsidRPr="007B66D2">
        <w:rPr>
          <w:rFonts w:asciiTheme="minorHAnsi" w:hAnsiTheme="minorHAnsi"/>
          <w:b/>
          <w:sz w:val="20"/>
          <w:szCs w:val="20"/>
          <w:lang w:val="ka-GE"/>
        </w:rPr>
        <w:t xml:space="preserve">,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მონტაჟის</w:t>
      </w:r>
      <w:r w:rsidR="007B66D2"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7B66D2"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ჭიშკრის</w:t>
      </w:r>
      <w:r w:rsidR="007B66D2"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7B66D2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7B66D2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B3543E" w:rsidRPr="007B66D2" w:rsidRDefault="00B3543E" w:rsidP="00A948F9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7B66D2">
        <w:rPr>
          <w:rFonts w:ascii="AcadNusx" w:hAnsi="AcadNusx"/>
          <w:sz w:val="20"/>
          <w:szCs w:val="20"/>
        </w:rPr>
        <w:t xml:space="preserve"> (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7B66D2">
        <w:rPr>
          <w:rFonts w:ascii="Sylfaen" w:hAnsi="Sylfaen" w:cs="Sylfaen"/>
          <w:sz w:val="20"/>
          <w:szCs w:val="20"/>
        </w:rPr>
        <w:t>ხერჯთ</w:t>
      </w:r>
      <w:r w:rsidRPr="007B66D2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7B66D2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G-003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7B66D2" w:rsidRPr="007B66D2">
        <w:rPr>
          <w:rFonts w:ascii="Sylfaen" w:hAnsi="Sylfaen"/>
          <w:sz w:val="20"/>
          <w:szCs w:val="20"/>
        </w:rPr>
        <w:t>3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66D2" w:rsidRPr="007B66D2">
        <w:rPr>
          <w:rFonts w:ascii="Sylfaen" w:hAnsi="Sylfaen"/>
          <w:sz w:val="20"/>
          <w:szCs w:val="20"/>
          <w:lang w:val="ka-GE"/>
        </w:rPr>
        <w:t>სამი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7B66D2" w:rsidRPr="007B66D2" w:rsidRDefault="007B66D2" w:rsidP="007B66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1 </w:t>
      </w:r>
      <w:r w:rsidRPr="007B66D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ღობის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შესყიდვა</w:t>
      </w:r>
    </w:p>
    <w:p w:rsidR="007B66D2" w:rsidRPr="007B66D2" w:rsidRDefault="007B66D2" w:rsidP="007B66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2 </w:t>
      </w:r>
      <w:r w:rsidRPr="007B66D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ღობის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მონტაჟი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სამშენებლო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>)</w:t>
      </w:r>
    </w:p>
    <w:p w:rsidR="007B66D2" w:rsidRPr="007B66D2" w:rsidRDefault="007B66D2" w:rsidP="007B66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3 </w:t>
      </w:r>
      <w:r w:rsidRPr="007B66D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ჭიშკრის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bCs/>
          <w:sz w:val="20"/>
          <w:szCs w:val="20"/>
          <w:lang w:val="ka-GE"/>
        </w:rPr>
        <w:t>შესყიდვა</w:t>
      </w: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7B66D2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proofErr w:type="spellStart"/>
      <w:proofErr w:type="gram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</w:t>
      </w:r>
      <w:r w:rsidR="00B3543E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ამუშაოს</w:t>
      </w:r>
      <w:proofErr w:type="spellEnd"/>
      <w:r w:rsidR="00B3543E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შესრულების</w:t>
      </w:r>
      <w:proofErr w:type="spellEnd"/>
      <w:proofErr w:type="gram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ადგილი</w:t>
      </w:r>
      <w:proofErr w:type="spellEnd"/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271CF1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="Sylfaen" w:eastAsiaTheme="majorEastAsia" w:hAnsi="Sylfaen" w:cs="Sylfaen"/>
          <w:sz w:val="20"/>
          <w:szCs w:val="20"/>
          <w:lang w:val="ka-GE"/>
        </w:rPr>
        <w:t>გარდაბანი</w:t>
      </w:r>
      <w:r w:rsidR="00FE355D" w:rsidRPr="007B66D2">
        <w:rPr>
          <w:rFonts w:ascii="Sylfaen" w:eastAsiaTheme="majorEastAsia" w:hAnsi="Sylfaen" w:cs="Sylfaen"/>
          <w:sz w:val="20"/>
          <w:szCs w:val="20"/>
          <w:lang w:val="ka-GE"/>
        </w:rPr>
        <w:t>.</w:t>
      </w:r>
    </w:p>
    <w:p w:rsidR="005C14A4" w:rsidRPr="007B66D2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  <w:sz w:val="20"/>
          <w:szCs w:val="20"/>
        </w:rPr>
      </w:pPr>
      <w:proofErr w:type="spellStart"/>
      <w:proofErr w:type="gram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სამუშ</w:t>
      </w:r>
      <w:r w:rsidR="00B3543E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აოს</w:t>
      </w:r>
      <w:proofErr w:type="spellEnd"/>
      <w:r w:rsidR="00B3543E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ჩამონათვალი</w:t>
      </w:r>
      <w:proofErr w:type="spellEnd"/>
      <w:proofErr w:type="gram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922D73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ებ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.</w:t>
      </w:r>
      <w:r w:rsidR="00117164"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24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აპრილი,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C7A9D" w:rsidRPr="007B66D2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 xml:space="preserve">გარდაბნის გამწმენდი </w:t>
      </w:r>
      <w:r w:rsidR="007B66D2">
        <w:rPr>
          <w:rFonts w:ascii="Sylfaen" w:hAnsi="Sylfaen" w:cs="Sylfaen"/>
          <w:sz w:val="20"/>
          <w:szCs w:val="20"/>
          <w:lang w:val="ka-GE"/>
        </w:rPr>
        <w:lastRenderedPageBreak/>
        <w:t>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1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:rsidR="00765A9D" w:rsidRPr="001C4F83" w:rsidRDefault="00765A9D" w:rsidP="00765A9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C4F83">
        <w:rPr>
          <w:rFonts w:ascii="Sylfaen" w:hAnsi="Sylfaen" w:cs="Sylfaen"/>
          <w:sz w:val="20"/>
          <w:szCs w:val="20"/>
          <w:lang w:val="ka-GE"/>
        </w:rPr>
        <w:t>თორნიკე</w:t>
      </w:r>
      <w:r w:rsidRPr="001C4F8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C4F83">
        <w:rPr>
          <w:rFonts w:ascii="Sylfaen" w:hAnsi="Sylfaen" w:cs="Sylfaen"/>
          <w:sz w:val="20"/>
          <w:szCs w:val="20"/>
          <w:lang w:val="ka-GE"/>
        </w:rPr>
        <w:t>კვინტრაძე</w:t>
      </w:r>
      <w:r w:rsidRPr="001C4F83">
        <w:rPr>
          <w:rFonts w:asciiTheme="minorHAnsi" w:hAnsiTheme="minorHAnsi" w:cstheme="minorHAnsi"/>
          <w:sz w:val="20"/>
          <w:szCs w:val="20"/>
          <w:lang w:val="ka-GE"/>
        </w:rPr>
        <w:t xml:space="preserve"> - 599568722</w:t>
      </w:r>
    </w:p>
    <w:p w:rsidR="00765A9D" w:rsidRPr="001C4F83" w:rsidRDefault="00765A9D" w:rsidP="00765A9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C4F83">
        <w:rPr>
          <w:rFonts w:ascii="Sylfaen" w:hAnsi="Sylfaen" w:cs="Sylfaen"/>
          <w:sz w:val="20"/>
          <w:szCs w:val="20"/>
          <w:lang w:val="ka-GE"/>
        </w:rPr>
        <w:t>გიორგი</w:t>
      </w:r>
      <w:r w:rsidRPr="001C4F8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C4F83">
        <w:rPr>
          <w:rFonts w:ascii="Sylfaen" w:hAnsi="Sylfaen" w:cs="Sylfaen"/>
          <w:sz w:val="20"/>
          <w:szCs w:val="20"/>
          <w:lang w:val="ka-GE"/>
        </w:rPr>
        <w:t>მგელაძე</w:t>
      </w:r>
      <w:r w:rsidRPr="001C4F83">
        <w:rPr>
          <w:rFonts w:asciiTheme="minorHAnsi" w:hAnsiTheme="minorHAnsi" w:cstheme="minorHAnsi"/>
          <w:sz w:val="20"/>
          <w:szCs w:val="20"/>
          <w:lang w:val="ka-GE"/>
        </w:rPr>
        <w:t xml:space="preserve"> - 595009025</w:t>
      </w:r>
    </w:p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ნინო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ძიძიგური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(1147); 555 16 72 92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Pr="007B66D2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lastRenderedPageBreak/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შპს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ანგარიშსწორების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პირობა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;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თანამშრომლობის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პირობები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 xml:space="preserve">4.1 </w:t>
      </w:r>
      <w:proofErr w:type="spellStart"/>
      <w:r w:rsidRPr="007B66D2">
        <w:rPr>
          <w:rFonts w:ascii="Sylfaen" w:hAnsi="Sylfaen" w:cs="Sylfaen"/>
          <w:sz w:val="20"/>
          <w:szCs w:val="20"/>
        </w:rPr>
        <w:t>ანგარიშსწორება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მოხდება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ეტაპობრივად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ფაქტობრივად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შესრულებული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სამუშაოს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მხარეების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მიერ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დოკუმენტაციის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ხელმოწერიდან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30 (</w:t>
      </w:r>
      <w:proofErr w:type="spellStart"/>
      <w:r w:rsidRPr="007B66D2">
        <w:rPr>
          <w:rFonts w:ascii="Sylfaen" w:hAnsi="Sylfaen" w:cs="Sylfaen"/>
          <w:sz w:val="20"/>
          <w:szCs w:val="20"/>
        </w:rPr>
        <w:t>ოცდაათი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დღეში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 xml:space="preserve">4.2 </w:t>
      </w:r>
      <w:proofErr w:type="spellStart"/>
      <w:r w:rsidRPr="007B66D2">
        <w:rPr>
          <w:rFonts w:ascii="Sylfaen" w:hAnsi="Sylfaen" w:cs="Sylfaen"/>
          <w:sz w:val="20"/>
          <w:szCs w:val="20"/>
        </w:rPr>
        <w:t>შპს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r w:rsidR="00D55821" w:rsidRPr="007B66D2">
        <w:rPr>
          <w:rFonts w:cs="Calibri"/>
          <w:sz w:val="20"/>
          <w:szCs w:val="20"/>
          <w:lang w:val="ka-GE"/>
        </w:rPr>
        <w:t>“</w:t>
      </w:r>
      <w:r w:rsidR="00D5582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ნაგებობის</w:t>
      </w:r>
      <w:r w:rsidR="00D55821" w:rsidRPr="007B66D2">
        <w:rPr>
          <w:rFonts w:cs="Calibri"/>
          <w:sz w:val="20"/>
          <w:szCs w:val="20"/>
          <w:lang w:val="ka-GE"/>
        </w:rPr>
        <w:t>”</w:t>
      </w:r>
      <w:r w:rsidR="00D55821" w:rsidRPr="007B66D2">
        <w:rPr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მიმწოდებლებთან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თანამშრომლობის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რაც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წარმოდგენილია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ზოგად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პრინციპებად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დანართ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#2-</w:t>
      </w:r>
      <w:r w:rsidRPr="007B66D2">
        <w:rPr>
          <w:rFonts w:ascii="Sylfaen" w:hAnsi="Sylfaen" w:cs="Sylfaen"/>
          <w:sz w:val="20"/>
          <w:szCs w:val="20"/>
        </w:rPr>
        <w:t>ში</w:t>
      </w:r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B3543E" w:rsidP="00271CF1">
      <w:pPr>
        <w:spacing w:after="0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AcadMtavr" w:hAnsi="AcadMtavr"/>
          <w:sz w:val="20"/>
          <w:szCs w:val="20"/>
        </w:rPr>
        <w:t>5.1</w:t>
      </w:r>
      <w:r w:rsidRPr="007B66D2">
        <w:rPr>
          <w:rFonts w:ascii="AcadMtavr" w:hAnsi="AcadMtavr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„განფასების“ ფაილი)</w:t>
      </w:r>
      <w:bookmarkStart w:id="2" w:name="_GoBack"/>
      <w:bookmarkEnd w:id="2"/>
    </w:p>
    <w:p w:rsidR="008249C6" w:rsidRPr="007B66D2" w:rsidRDefault="00B3543E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7B66D2">
        <w:rPr>
          <w:rFonts w:ascii="AcadMtavr" w:hAnsi="AcadMtavr"/>
          <w:sz w:val="20"/>
          <w:szCs w:val="20"/>
        </w:rPr>
        <w:t>5.2</w:t>
      </w:r>
      <w:r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5.3</w:t>
      </w:r>
      <w:r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5.4</w:t>
      </w:r>
      <w:r w:rsidRPr="007B66D2">
        <w:rPr>
          <w:rFonts w:ascii="AcadMtavr" w:hAnsi="AcadMtavr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5.5</w:t>
      </w:r>
      <w:r w:rsidRPr="007B66D2">
        <w:rPr>
          <w:rFonts w:ascii="AcadMtavr" w:hAnsi="AcadMtavr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B3543E" w:rsidP="008D2BF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5.6</w:t>
      </w:r>
      <w:r w:rsidRPr="007B66D2">
        <w:rPr>
          <w:rFonts w:ascii="AcadMtavr" w:hAnsi="AcadMtavr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Pr="007B66D2">
        <w:rPr>
          <w:rFonts w:ascii="AcadMtavr" w:hAnsi="AcadMtavr"/>
          <w:sz w:val="20"/>
          <w:szCs w:val="20"/>
        </w:rPr>
        <w:t>).</w:t>
      </w:r>
    </w:p>
    <w:p w:rsidR="00B3543E" w:rsidRPr="00D55821" w:rsidRDefault="00B3543E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 w:rsidRPr="007B66D2">
        <w:rPr>
          <w:rFonts w:ascii="AcadMtavr" w:hAnsi="AcadMtavr"/>
          <w:sz w:val="20"/>
          <w:szCs w:val="20"/>
        </w:rPr>
        <w:t>5.7</w:t>
      </w:r>
      <w:r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:rsidR="00B3543E" w:rsidRPr="007B66D2" w:rsidRDefault="00B3543E" w:rsidP="008D2BF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5.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Pr="007B66D2">
        <w:rPr>
          <w:rFonts w:ascii="AcadMtavr" w:hAnsi="AcadMtavr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განსახორციელებელი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</w:t>
      </w:r>
      <w:proofErr w:type="spellStart"/>
      <w:r w:rsidR="000E2456" w:rsidRPr="007B66D2">
        <w:rPr>
          <w:rFonts w:ascii="Sylfaen" w:hAnsi="Sylfaen" w:cs="Sylfaen"/>
          <w:b/>
          <w:color w:val="auto"/>
          <w:sz w:val="20"/>
          <w:szCs w:val="20"/>
        </w:rPr>
        <w:t>სამუშ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აოების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მოცულობა</w:t>
      </w:r>
      <w:proofErr w:type="spellEnd"/>
    </w:p>
    <w:p w:rsidR="007C261E" w:rsidRPr="007B66D2" w:rsidRDefault="00B3543E" w:rsidP="00FE6DAE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 xml:space="preserve">6.1    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განსახორციელებელი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დანართ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#1,</w:t>
      </w:r>
    </w:p>
    <w:p w:rsidR="00A948F9" w:rsidRPr="007B66D2" w:rsidRDefault="00A948F9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7.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Pr="007B66D2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C261E" w:rsidP="008D2BFD">
      <w:pPr>
        <w:rPr>
          <w:rFonts w:ascii="Sylfaen" w:eastAsiaTheme="majorEastAsia" w:hAnsi="Sylfaen" w:cs="Sylfaen"/>
          <w:b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8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 xml:space="preserve">8.1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B3543E" w:rsidP="008D2BFD">
      <w:pPr>
        <w:rPr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შპს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1E" w:rsidRDefault="00A83D1E" w:rsidP="007902EA">
      <w:pPr>
        <w:spacing w:after="0" w:line="240" w:lineRule="auto"/>
      </w:pPr>
      <w:r>
        <w:separator/>
      </w:r>
    </w:p>
  </w:endnote>
  <w:endnote w:type="continuationSeparator" w:id="0">
    <w:p w:rsidR="00A83D1E" w:rsidRDefault="00A83D1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3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1E" w:rsidRDefault="00A83D1E" w:rsidP="007902EA">
      <w:pPr>
        <w:spacing w:after="0" w:line="240" w:lineRule="auto"/>
      </w:pPr>
      <w:r>
        <w:separator/>
      </w:r>
    </w:p>
  </w:footnote>
  <w:footnote w:type="continuationSeparator" w:id="0">
    <w:p w:rsidR="00A83D1E" w:rsidRDefault="00A83D1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5" w:rsidRDefault="00C56BEF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4E1AE2B2" wp14:editId="7877B03C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222315">
      <w:rPr>
        <w:rFonts w:ascii="Sylfaen" w:hAnsi="Sylfaen" w:cs="Sylfaen"/>
        <w:b/>
        <w:bCs/>
        <w:sz w:val="28"/>
        <w:szCs w:val="28"/>
        <w:lang w:val="ka-GE"/>
      </w:rPr>
      <w:t>კონკურსი ღობის შესყიდვის, მონტაჟის და ჭიშკრის შესყიდვის თაობაზე</w:t>
    </w: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BF6F43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zidzigur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DAAF-01B2-4BB9-BA50-DD9C16E3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Dzidziguri</cp:lastModifiedBy>
  <cp:revision>76</cp:revision>
  <cp:lastPrinted>2016-06-17T13:25:00Z</cp:lastPrinted>
  <dcterms:created xsi:type="dcterms:W3CDTF">2016-07-21T15:20:00Z</dcterms:created>
  <dcterms:modified xsi:type="dcterms:W3CDTF">2018-04-10T13:26:00Z</dcterms:modified>
</cp:coreProperties>
</file>