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F5" w:rsidRPr="00B00C4D" w:rsidRDefault="008E5BAE" w:rsidP="000F49F8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C13667" w:rsidRDefault="008E5BAE" w:rsidP="006E09CA">
      <w:pPr>
        <w:jc w:val="center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B204A">
        <w:rPr>
          <w:rFonts w:ascii="AcadNusx" w:hAnsi="AcadNusx"/>
          <w:bCs/>
        </w:rPr>
        <w:t xml:space="preserve"> </w:t>
      </w:r>
      <w:r>
        <w:rPr>
          <w:rFonts w:ascii="Sylfaen" w:hAnsi="Sylfaen"/>
          <w:bCs/>
          <w:lang w:val="ka-GE"/>
        </w:rPr>
        <w:t>აცხადებს</w:t>
      </w:r>
      <w:r w:rsidR="007A3B0F">
        <w:rPr>
          <w:rFonts w:ascii="AcadNusx" w:hAnsi="AcadNusx"/>
          <w:bCs/>
        </w:rPr>
        <w:t xml:space="preserve"> </w:t>
      </w:r>
      <w:r w:rsidR="0095327F">
        <w:rPr>
          <w:rFonts w:ascii="Sylfaen" w:hAnsi="Sylfaen"/>
          <w:bCs/>
          <w:lang w:val="ka-GE"/>
        </w:rPr>
        <w:t>ტენდერს</w:t>
      </w:r>
      <w:r w:rsidR="002331CA">
        <w:rPr>
          <w:rFonts w:ascii="Sylfaen" w:hAnsi="Sylfaen"/>
          <w:bCs/>
          <w:lang w:val="ka-GE"/>
        </w:rPr>
        <w:t xml:space="preserve"> </w:t>
      </w:r>
      <w:r w:rsidR="006E09CA">
        <w:rPr>
          <w:rFonts w:ascii="Sylfaen" w:hAnsi="Sylfaen"/>
          <w:bCs/>
          <w:lang w:val="ka-GE"/>
        </w:rPr>
        <w:t xml:space="preserve">სტურქტურული საკაბელო სისტემების და </w:t>
      </w:r>
      <w:r w:rsidR="002331CA">
        <w:rPr>
          <w:rFonts w:ascii="Sylfaen" w:hAnsi="Sylfaen"/>
          <w:bCs/>
          <w:lang w:val="ka-GE"/>
        </w:rPr>
        <w:t xml:space="preserve">ლოკალური, ფიზიკური ქსელის შემდგომ ტექნიკურ </w:t>
      </w:r>
      <w:r w:rsidR="00AF1013">
        <w:rPr>
          <w:rFonts w:ascii="Sylfaen" w:hAnsi="Sylfaen"/>
          <w:bCs/>
          <w:lang w:val="ka-GE"/>
        </w:rPr>
        <w:t>მხარდაჭერასა და ინსტალაციაზე: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334"/>
        <w:gridCol w:w="5991"/>
        <w:gridCol w:w="4172"/>
        <w:gridCol w:w="699"/>
      </w:tblGrid>
      <w:tr w:rsidR="006E09CA" w:rsidRPr="002C5FC4" w:rsidTr="006E09CA">
        <w:trPr>
          <w:trHeight w:val="2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65B8" w:rsidRPr="002C5FC4" w:rsidRDefault="00FA65B8" w:rsidP="000F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5FC4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65B8" w:rsidRPr="002C5FC4" w:rsidRDefault="00FA65B8" w:rsidP="000F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5FC4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A65B8" w:rsidRPr="00FA65B8" w:rsidRDefault="00FA65B8" w:rsidP="000F49F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აღწერა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A65B8" w:rsidRPr="00FA65B8" w:rsidRDefault="00FA65B8" w:rsidP="000F49F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ფასი</w:t>
            </w:r>
          </w:p>
        </w:tc>
      </w:tr>
      <w:tr w:rsidR="000F49F8" w:rsidRPr="002C5FC4" w:rsidTr="006E09CA">
        <w:trPr>
          <w:trHeight w:val="664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9F8" w:rsidRPr="000F49F8" w:rsidRDefault="000F49F8" w:rsidP="000F49F8">
            <w:pPr>
              <w:jc w:val="center"/>
              <w:rPr>
                <w:rFonts w:eastAsia="Times New Roman" w:cs="Calibri"/>
                <w:color w:val="000000"/>
              </w:rPr>
            </w:pPr>
            <w:r w:rsidRPr="000F49F8">
              <w:rPr>
                <w:rFonts w:eastAsia="Times New Roman" w:cs="Calibri"/>
                <w:color w:val="000000"/>
              </w:rPr>
              <w:t>1</w:t>
            </w:r>
          </w:p>
          <w:p w:rsidR="000F49F8" w:rsidRPr="002C5FC4" w:rsidRDefault="000F49F8" w:rsidP="000F4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9F8" w:rsidRPr="000F49F8" w:rsidRDefault="000F49F8" w:rsidP="006E09CA">
            <w:pPr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0F49F8">
              <w:rPr>
                <w:rFonts w:ascii="Sylfaen" w:eastAsia="Times New Roman" w:hAnsi="Sylfaen" w:cs="Calibri"/>
                <w:color w:val="000000"/>
                <w:lang w:val="ka-GE"/>
              </w:rPr>
              <w:t>სტრუქტურული საკაბელო სისტემების ინსტალაცია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9F8" w:rsidRPr="000F49F8" w:rsidRDefault="000F49F8" w:rsidP="006E09C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  <w:p w:rsidR="000F49F8" w:rsidRPr="000F49F8" w:rsidRDefault="000F49F8" w:rsidP="006E09CA">
            <w:pPr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0F49F8">
              <w:rPr>
                <w:rFonts w:ascii="Sylfaen" w:eastAsia="Times New Roman" w:hAnsi="Sylfaen" w:cs="Calibri"/>
                <w:color w:val="000000"/>
                <w:lang w:val="ka-GE"/>
              </w:rPr>
              <w:t>ერთი ორმაგი წერტილი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9F8" w:rsidRPr="000F49F8" w:rsidRDefault="000F49F8" w:rsidP="000F49F8">
            <w:pPr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</w:tr>
      <w:tr w:rsidR="00FA65B8" w:rsidRPr="002C5FC4" w:rsidTr="006E09CA">
        <w:trPr>
          <w:trHeight w:val="409"/>
          <w:jc w:val="center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B8" w:rsidRPr="000F49F8" w:rsidRDefault="000F49F8" w:rsidP="000F49F8">
            <w:pPr>
              <w:rPr>
                <w:rFonts w:eastAsia="Times New Roman" w:cs="Calibri"/>
                <w:color w:val="000000"/>
              </w:rPr>
            </w:pPr>
            <w:r w:rsidRPr="000F49F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5B8" w:rsidRPr="000F49F8" w:rsidRDefault="00FA65B8" w:rsidP="000F49F8">
            <w:pPr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0F49F8">
              <w:rPr>
                <w:rFonts w:ascii="Sylfaen" w:eastAsia="Times New Roman" w:hAnsi="Sylfaen" w:cs="Sylfaen"/>
                <w:color w:val="000000"/>
                <w:lang w:val="ka-GE"/>
              </w:rPr>
              <w:t>ლოკალური, ფიზიკური ქსელის ტექნიკური მხარდაჭერა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9F8" w:rsidRPr="000F49F8" w:rsidRDefault="000F49F8" w:rsidP="000F49F8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  <w:p w:rsidR="00FA65B8" w:rsidRPr="000F49F8" w:rsidRDefault="00FA65B8" w:rsidP="000F49F8">
            <w:pPr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0F49F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დეტალური ჩამონათვალი</w:t>
            </w:r>
            <w:r w:rsidRPr="000F49F8">
              <w:rPr>
                <w:rFonts w:ascii="Sylfaen" w:eastAsia="Times New Roman" w:hAnsi="Sylfaen" w:cs="Sylfaen"/>
                <w:color w:val="000000"/>
                <w:lang w:val="ka-GE"/>
              </w:rPr>
              <w:t xml:space="preserve">  - </w:t>
            </w:r>
            <w:proofErr w:type="spellStart"/>
            <w:r w:rsidRPr="000F49F8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იხ</w:t>
            </w:r>
            <w:proofErr w:type="spellEnd"/>
            <w:r w:rsidRPr="000F49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F49F8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დანართ</w:t>
            </w:r>
            <w:proofErr w:type="spellEnd"/>
            <w:r w:rsidRPr="000F49F8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ka-GE"/>
              </w:rPr>
              <w:t xml:space="preserve">ი </w:t>
            </w:r>
            <w:r w:rsidRPr="000F49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5B8" w:rsidRPr="000F49F8" w:rsidRDefault="00FA65B8" w:rsidP="000F49F8">
            <w:pPr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</w:tr>
    </w:tbl>
    <w:p w:rsidR="000100E6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</w:t>
      </w: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0100E6" w:rsidRPr="00D73AD9" w:rsidRDefault="00913C84" w:rsidP="00913C84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Cs/>
        </w:rPr>
      </w:pPr>
      <w:proofErr w:type="spellStart"/>
      <w:proofErr w:type="gramStart"/>
      <w:r w:rsidRPr="00D73AD9">
        <w:rPr>
          <w:rFonts w:ascii="AcadNusx" w:hAnsi="AcadNusx"/>
          <w:bCs/>
        </w:rPr>
        <w:t>tenderis</w:t>
      </w:r>
      <w:proofErr w:type="spellEnd"/>
      <w:proofErr w:type="gram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piroba</w:t>
      </w:r>
      <w:proofErr w:type="spell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iTvaliswinebs</w:t>
      </w:r>
      <w:proofErr w:type="spell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gamoyenebuli</w:t>
      </w:r>
      <w:proofErr w:type="spell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masalebisa</w:t>
      </w:r>
      <w:proofErr w:type="spellEnd"/>
      <w:r w:rsidRPr="00D73AD9">
        <w:rPr>
          <w:rFonts w:ascii="AcadNusx" w:hAnsi="AcadNusx"/>
          <w:bCs/>
        </w:rPr>
        <w:t xml:space="preserve"> da </w:t>
      </w:r>
      <w:proofErr w:type="spellStart"/>
      <w:r w:rsidRPr="00D73AD9">
        <w:rPr>
          <w:rFonts w:ascii="AcadNusx" w:hAnsi="AcadNusx"/>
          <w:bCs/>
        </w:rPr>
        <w:t>Sesrulebuli</w:t>
      </w:r>
      <w:proofErr w:type="spell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samuSaos</w:t>
      </w:r>
      <w:proofErr w:type="spell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xarisxis</w:t>
      </w:r>
      <w:proofErr w:type="spell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normatiul</w:t>
      </w:r>
      <w:proofErr w:type="spellEnd"/>
      <w:r w:rsidRPr="00D73AD9">
        <w:rPr>
          <w:rFonts w:ascii="AcadNusx" w:hAnsi="AcadNusx"/>
          <w:bCs/>
        </w:rPr>
        <w:t xml:space="preserve"> </w:t>
      </w:r>
      <w:proofErr w:type="spellStart"/>
      <w:r w:rsidRPr="00D73AD9">
        <w:rPr>
          <w:rFonts w:ascii="AcadNusx" w:hAnsi="AcadNusx"/>
          <w:bCs/>
        </w:rPr>
        <w:t>kontrols</w:t>
      </w:r>
      <w:proofErr w:type="spellEnd"/>
      <w:r w:rsidRPr="00D73AD9">
        <w:rPr>
          <w:rFonts w:ascii="AcadNusx" w:hAnsi="AcadNusx"/>
          <w:bCs/>
        </w:rPr>
        <w:t>.</w:t>
      </w:r>
    </w:p>
    <w:p w:rsidR="00AF1013" w:rsidRPr="00837BEF" w:rsidRDefault="00AF1013" w:rsidP="00AF1013">
      <w:pPr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>სხვა პირობები:</w:t>
      </w:r>
    </w:p>
    <w:p w:rsidR="00AF1013" w:rsidRDefault="00AF1013" w:rsidP="00AF1013">
      <w:pPr>
        <w:pStyle w:val="ListParagraph"/>
        <w:numPr>
          <w:ilvl w:val="0"/>
          <w:numId w:val="26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შემოთვაზებული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F1013" w:rsidRDefault="00AF1013" w:rsidP="00AF1013">
      <w:pPr>
        <w:pStyle w:val="ListParagraph"/>
        <w:numPr>
          <w:ilvl w:val="0"/>
          <w:numId w:val="26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ფასები უნდა მიეთითოს ეროვნულ ვალუტაში  - ლარი;</w:t>
      </w:r>
    </w:p>
    <w:p w:rsidR="00AF1013" w:rsidRPr="00057A18" w:rsidRDefault="00AF1013" w:rsidP="00AF1013">
      <w:pPr>
        <w:pStyle w:val="ListParagraph"/>
        <w:numPr>
          <w:ilvl w:val="0"/>
          <w:numId w:val="26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გამარჯვებულ კომპანიასთნ გაფორმდება გენერალური ხელშკრულება;</w:t>
      </w:r>
    </w:p>
    <w:p w:rsidR="000F49F8" w:rsidRPr="000F49F8" w:rsidRDefault="00AF1013" w:rsidP="000F49F8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 w:rsidRPr="00AF1013">
        <w:rPr>
          <w:rFonts w:ascii="Sylfaen" w:hAnsi="Sylfaen"/>
          <w:bCs/>
          <w:lang w:val="ka-GE"/>
        </w:rPr>
        <w:t>მონაწილე</w:t>
      </w:r>
      <w:r w:rsidRPr="00AF1013">
        <w:rPr>
          <w:bCs/>
          <w:lang w:val="ka-GE"/>
        </w:rPr>
        <w:t xml:space="preserve"> </w:t>
      </w:r>
      <w:r w:rsidRPr="00AF1013">
        <w:rPr>
          <w:rFonts w:ascii="Sylfaen" w:hAnsi="Sylfaen"/>
          <w:bCs/>
          <w:lang w:val="ka-GE"/>
        </w:rPr>
        <w:t>კომპანიებმა</w:t>
      </w:r>
      <w:r w:rsidRPr="00AF1013">
        <w:rPr>
          <w:bCs/>
          <w:lang w:val="ka-GE"/>
        </w:rPr>
        <w:t xml:space="preserve"> </w:t>
      </w:r>
      <w:r w:rsidRPr="00AF1013">
        <w:rPr>
          <w:rFonts w:ascii="Sylfaen" w:hAnsi="Sylfaen"/>
          <w:bCs/>
          <w:lang w:val="ka-GE"/>
        </w:rPr>
        <w:t>უნდა</w:t>
      </w:r>
      <w:r w:rsidRPr="00AF1013">
        <w:rPr>
          <w:bCs/>
          <w:lang w:val="ka-GE"/>
        </w:rPr>
        <w:t xml:space="preserve"> </w:t>
      </w:r>
      <w:r w:rsidRPr="00AF1013">
        <w:rPr>
          <w:rFonts w:ascii="Sylfaen" w:hAnsi="Sylfaen"/>
          <w:bCs/>
          <w:lang w:val="ka-GE"/>
        </w:rPr>
        <w:t>წარმოადგინონ</w:t>
      </w:r>
      <w:r w:rsidR="000F49F8">
        <w:rPr>
          <w:rFonts w:ascii="Sylfaen" w:hAnsi="Sylfaen"/>
          <w:bCs/>
          <w:lang w:val="ka-GE"/>
        </w:rPr>
        <w:t xml:space="preserve">:  </w:t>
      </w:r>
    </w:p>
    <w:p w:rsidR="006E09CA" w:rsidRDefault="000F49F8" w:rsidP="006E09CA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ქსელური კაბელის </w:t>
      </w:r>
      <w:r w:rsidR="006E09CA">
        <w:rPr>
          <w:rFonts w:ascii="Sylfaen" w:hAnsi="Sylfaen" w:cs="Sylfaen"/>
          <w:bCs/>
          <w:lang w:val="ka-GE"/>
        </w:rPr>
        <w:t xml:space="preserve">ხარისხის დამადასტურებელი </w:t>
      </w:r>
      <w:r w:rsidR="006E09CA" w:rsidRPr="006E09CA">
        <w:rPr>
          <w:rFonts w:ascii="Sylfaen" w:hAnsi="Sylfaen" w:cs="Sylfaen"/>
          <w:b/>
          <w:bCs/>
          <w:lang w:val="ka-GE"/>
        </w:rPr>
        <w:t>სერტიფიკატი</w:t>
      </w:r>
      <w:r w:rsidR="00687015">
        <w:rPr>
          <w:rFonts w:ascii="Sylfaen" w:hAnsi="Sylfaen" w:cs="Sylfaen"/>
          <w:b/>
          <w:bCs/>
          <w:lang w:val="ka-GE"/>
        </w:rPr>
        <w:t xml:space="preserve"> </w:t>
      </w:r>
    </w:p>
    <w:p w:rsidR="006E09CA" w:rsidRPr="006E09CA" w:rsidRDefault="006E09CA" w:rsidP="006E09CA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6E09CA">
        <w:rPr>
          <w:rFonts w:ascii="Sylfaen" w:hAnsi="Sylfaen" w:cs="Sylfaen"/>
          <w:bCs/>
          <w:lang w:val="ka-GE"/>
        </w:rPr>
        <w:t xml:space="preserve">ინჟინრების კვალიფიკაციის დამადასტურებელი </w:t>
      </w:r>
      <w:r w:rsidRPr="006E09CA">
        <w:rPr>
          <w:rFonts w:ascii="Sylfaen" w:hAnsi="Sylfaen" w:cs="Sylfaen"/>
          <w:b/>
          <w:bCs/>
          <w:lang w:val="ka-GE"/>
        </w:rPr>
        <w:t>სერტიფიკატები</w:t>
      </w:r>
    </w:p>
    <w:p w:rsidR="00AF1013" w:rsidRPr="00837BEF" w:rsidRDefault="00AF1013" w:rsidP="00AF1013">
      <w:pPr>
        <w:pStyle w:val="ListParagraph"/>
        <w:ind w:left="0"/>
        <w:rPr>
          <w:rFonts w:ascii="Sylfaen" w:hAnsi="Sylfaen"/>
          <w:b/>
          <w:bCs/>
          <w:lang w:val="ka-GE"/>
        </w:rPr>
      </w:pPr>
      <w:r w:rsidRPr="00837BEF">
        <w:rPr>
          <w:rFonts w:ascii="Sylfaen" w:hAnsi="Sylfaen"/>
          <w:b/>
          <w:bCs/>
          <w:lang w:val="ka-GE"/>
        </w:rPr>
        <w:t>წარმოსადგენი დოკუმენტაცია:</w:t>
      </w:r>
    </w:p>
    <w:p w:rsidR="00AF1013" w:rsidRDefault="00AF1013" w:rsidP="00AF1013">
      <w:pPr>
        <w:pStyle w:val="ListParagraph"/>
        <w:ind w:left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</w:t>
      </w:r>
    </w:p>
    <w:p w:rsidR="00AF1013" w:rsidRDefault="00AF1013" w:rsidP="00AF1013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ამონაწერი სამეწარმეო რეესტრიდან;</w:t>
      </w:r>
    </w:p>
    <w:p w:rsidR="00AF1013" w:rsidRDefault="00AF1013" w:rsidP="00AF1013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დეტალური შეთავაზება: სატენდერო წინადადების ფასი, მიწოდების ვადები და ა.შ;</w:t>
      </w:r>
    </w:p>
    <w:p w:rsidR="00AF1013" w:rsidRPr="006E09CA" w:rsidRDefault="00AF1013" w:rsidP="006E09CA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 w:rsidRPr="006E09CA">
        <w:rPr>
          <w:rFonts w:ascii="Sylfaen" w:hAnsi="Sylfaen"/>
          <w:bCs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AF1013" w:rsidRPr="006E09CA" w:rsidRDefault="00AF1013" w:rsidP="006E09CA">
      <w:pPr>
        <w:pStyle w:val="ListParagraph"/>
        <w:numPr>
          <w:ilvl w:val="0"/>
          <w:numId w:val="27"/>
        </w:numPr>
        <w:rPr>
          <w:rFonts w:ascii="Sylfaen" w:hAnsi="Sylfaen"/>
          <w:bCs/>
          <w:lang w:val="ka-GE"/>
        </w:rPr>
      </w:pPr>
      <w:r w:rsidRPr="006E09CA">
        <w:rPr>
          <w:rFonts w:ascii="Sylfaen" w:hAnsi="Sylfaen"/>
          <w:bCs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Default="0098394A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</w:rPr>
      </w:pPr>
    </w:p>
    <w:p w:rsidR="00AF1013" w:rsidRPr="0090646A" w:rsidRDefault="00AF1013" w:rsidP="00AF1013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  <w:bookmarkStart w:id="0" w:name="_GoBack"/>
      <w:bookmarkEnd w:id="0"/>
    </w:p>
    <w:p w:rsidR="00AF1013" w:rsidRPr="00EE60FD" w:rsidRDefault="00AF1013" w:rsidP="00AF1013">
      <w:pPr>
        <w:pStyle w:val="ListParagraph"/>
        <w:numPr>
          <w:ilvl w:val="0"/>
          <w:numId w:val="10"/>
        </w:numPr>
        <w:tabs>
          <w:tab w:val="left" w:pos="450"/>
        </w:tabs>
        <w:spacing w:after="6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1E1818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F2DC1">
        <w:rPr>
          <w:rFonts w:ascii="Sylfaen" w:hAnsi="Sylfaen" w:cs="Sylfaen"/>
          <w:sz w:val="20"/>
          <w:szCs w:val="20"/>
        </w:rPr>
        <w:t>16</w:t>
      </w:r>
      <w:r w:rsidR="00EF2DC1">
        <w:rPr>
          <w:rFonts w:ascii="Sylfaen" w:hAnsi="Sylfaen" w:cs="Sylfaen"/>
          <w:sz w:val="20"/>
          <w:szCs w:val="20"/>
          <w:lang w:val="ka-GE"/>
        </w:rPr>
        <w:t xml:space="preserve"> მაისიდან</w:t>
      </w:r>
      <w:r w:rsidR="00EF2DC1">
        <w:rPr>
          <w:rFonts w:ascii="Sylfaen" w:hAnsi="Sylfaen" w:cs="Sylfaen"/>
          <w:sz w:val="20"/>
          <w:szCs w:val="20"/>
        </w:rPr>
        <w:t xml:space="preserve"> </w:t>
      </w:r>
      <w:r w:rsidR="008262B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1E1818">
        <w:rPr>
          <w:rFonts w:ascii="Sylfaen" w:hAnsi="Sylfaen" w:cs="Sylfaen"/>
          <w:sz w:val="20"/>
          <w:szCs w:val="20"/>
          <w:lang w:val="ka-GE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1E1818">
        <w:rPr>
          <w:rFonts w:ascii="Sylfaen" w:hAnsi="Sylfaen" w:cs="Sylfaen"/>
          <w:sz w:val="20"/>
          <w:szCs w:val="20"/>
          <w:lang w:val="ka-GE"/>
        </w:rPr>
        <w:t>2</w:t>
      </w:r>
      <w:r w:rsidR="00EF2DC1">
        <w:rPr>
          <w:rFonts w:ascii="Sylfaen" w:hAnsi="Sylfaen" w:cs="Sylfaen"/>
          <w:sz w:val="20"/>
          <w:szCs w:val="20"/>
          <w:lang w:val="ka-GE"/>
        </w:rPr>
        <w:t>5</w:t>
      </w:r>
      <w:r w:rsidR="001E181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2DC1">
        <w:rPr>
          <w:rFonts w:ascii="Sylfaen" w:hAnsi="Sylfaen" w:cs="Sylfaen"/>
          <w:sz w:val="20"/>
          <w:szCs w:val="20"/>
          <w:lang w:val="ka-GE"/>
        </w:rPr>
        <w:t>მაისის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AF1013" w:rsidRPr="00EE60FD" w:rsidRDefault="00AF1013" w:rsidP="00AF1013">
      <w:pPr>
        <w:pStyle w:val="ListParagraph"/>
        <w:numPr>
          <w:ilvl w:val="0"/>
          <w:numId w:val="10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5" w:history="1">
        <w:r w:rsidRPr="00376194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AF1013" w:rsidRPr="00EE60FD" w:rsidRDefault="00AF1013" w:rsidP="00AF1013">
      <w:pPr>
        <w:pStyle w:val="ListParagraph"/>
        <w:numPr>
          <w:ilvl w:val="0"/>
          <w:numId w:val="10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="00685BB6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/>
          <w:bCs/>
          <w:sz w:val="20"/>
          <w:szCs w:val="20"/>
          <w:lang w:val="ka-GE"/>
        </w:rPr>
        <w:t>#</w:t>
      </w:r>
      <w:r w:rsidR="00685BB6">
        <w:rPr>
          <w:rFonts w:ascii="Sylfaen" w:hAnsi="Sylfaen"/>
          <w:bCs/>
          <w:sz w:val="20"/>
          <w:szCs w:val="20"/>
        </w:rPr>
        <w:t>1</w:t>
      </w:r>
      <w:r>
        <w:rPr>
          <w:rFonts w:ascii="Sylfaen" w:hAnsi="Sylfaen"/>
          <w:bCs/>
          <w:sz w:val="20"/>
          <w:szCs w:val="20"/>
          <w:lang w:val="ka-GE"/>
        </w:rPr>
        <w:t xml:space="preserve">-ის გასწვრივ უნდა მიუთითოს </w:t>
      </w:r>
      <w:r w:rsidR="00685BB6">
        <w:rPr>
          <w:rFonts w:ascii="Sylfaen" w:hAnsi="Sylfaen"/>
          <w:bCs/>
          <w:sz w:val="20"/>
          <w:szCs w:val="20"/>
          <w:lang w:val="ka-GE"/>
        </w:rPr>
        <w:t>ერთი ორმაგი წერტილის ფასი</w:t>
      </w:r>
      <w:r w:rsidR="00685BB6">
        <w:rPr>
          <w:rFonts w:ascii="Sylfaen" w:hAnsi="Sylfaen"/>
          <w:bCs/>
          <w:sz w:val="20"/>
          <w:szCs w:val="20"/>
        </w:rPr>
        <w:t xml:space="preserve">, </w:t>
      </w:r>
      <w:r w:rsidR="00685BB6">
        <w:rPr>
          <w:rFonts w:ascii="Sylfaen" w:hAnsi="Sylfaen"/>
          <w:bCs/>
          <w:sz w:val="20"/>
          <w:szCs w:val="20"/>
          <w:lang w:val="ka-GE"/>
        </w:rPr>
        <w:t xml:space="preserve">ხოლო პროდუქტი #2-ის გასწვრივ </w:t>
      </w:r>
      <w:r>
        <w:rPr>
          <w:rFonts w:ascii="Sylfaen" w:hAnsi="Sylfaen"/>
          <w:bCs/>
          <w:sz w:val="20"/>
          <w:szCs w:val="20"/>
          <w:lang w:val="ka-GE"/>
        </w:rPr>
        <w:t xml:space="preserve"> დანართი #1-ის შევსების შედეგად</w:t>
      </w:r>
      <w:r w:rsidR="00685BB6">
        <w:rPr>
          <w:rFonts w:ascii="Sylfaen" w:hAnsi="Sylfaen"/>
          <w:bCs/>
          <w:sz w:val="20"/>
          <w:szCs w:val="20"/>
          <w:lang w:val="ka-GE"/>
        </w:rPr>
        <w:t xml:space="preserve"> მიღებული ფასი.</w:t>
      </w:r>
    </w:p>
    <w:p w:rsidR="00AF1013" w:rsidRPr="00EE60FD" w:rsidRDefault="00AF1013" w:rsidP="00AF1013">
      <w:pPr>
        <w:pStyle w:val="ListParagraph"/>
        <w:numPr>
          <w:ilvl w:val="0"/>
          <w:numId w:val="10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AF1013" w:rsidRPr="00EE60FD" w:rsidRDefault="00AF1013" w:rsidP="00AF1013">
      <w:pPr>
        <w:pStyle w:val="ListParagraph"/>
        <w:numPr>
          <w:ilvl w:val="0"/>
          <w:numId w:val="10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0306A6" w:rsidRPr="00AF1013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AF1013" w:rsidRPr="008B396C" w:rsidRDefault="00AF1013" w:rsidP="00AF1013">
      <w:pPr>
        <w:pStyle w:val="ListParagraph"/>
        <w:jc w:val="both"/>
        <w:rPr>
          <w:rFonts w:ascii="AcadNusx" w:hAnsi="AcadNusx"/>
          <w:bCs/>
        </w:rPr>
      </w:pPr>
    </w:p>
    <w:p w:rsidR="00AF1013" w:rsidRPr="002C5FC4" w:rsidRDefault="00AF1013" w:rsidP="00AF1013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  <w:bCs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თეა გიორგაძე - 599 91 50 78</w:t>
      </w:r>
    </w:p>
    <w:sectPr w:rsidR="00AF1013" w:rsidRPr="002C5FC4" w:rsidSect="00AF1013">
      <w:pgSz w:w="12240" w:h="15840"/>
      <w:pgMar w:top="720" w:right="27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D77FA"/>
    <w:multiLevelType w:val="hybridMultilevel"/>
    <w:tmpl w:val="F60E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039F"/>
    <w:multiLevelType w:val="hybridMultilevel"/>
    <w:tmpl w:val="2F84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438AB"/>
    <w:multiLevelType w:val="hybridMultilevel"/>
    <w:tmpl w:val="4ACC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1BB5"/>
    <w:multiLevelType w:val="hybridMultilevel"/>
    <w:tmpl w:val="6CC657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A65A1"/>
    <w:multiLevelType w:val="hybridMultilevel"/>
    <w:tmpl w:val="3AD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6" w15:restartNumberingAfterBreak="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9"/>
  </w:num>
  <w:num w:numId="11">
    <w:abstractNumId w:val="7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6"/>
  </w:num>
  <w:num w:numId="17">
    <w:abstractNumId w:val="12"/>
  </w:num>
  <w:num w:numId="18">
    <w:abstractNumId w:val="28"/>
  </w:num>
  <w:num w:numId="19">
    <w:abstractNumId w:val="5"/>
  </w:num>
  <w:num w:numId="20">
    <w:abstractNumId w:val="25"/>
  </w:num>
  <w:num w:numId="21">
    <w:abstractNumId w:val="11"/>
  </w:num>
  <w:num w:numId="22">
    <w:abstractNumId w:val="22"/>
  </w:num>
  <w:num w:numId="23">
    <w:abstractNumId w:val="21"/>
  </w:num>
  <w:num w:numId="24">
    <w:abstractNumId w:val="1"/>
  </w:num>
  <w:num w:numId="25">
    <w:abstractNumId w:val="20"/>
  </w:num>
  <w:num w:numId="26">
    <w:abstractNumId w:val="15"/>
  </w:num>
  <w:num w:numId="27">
    <w:abstractNumId w:val="24"/>
  </w:num>
  <w:num w:numId="28">
    <w:abstractNumId w:val="4"/>
  </w:num>
  <w:num w:numId="29">
    <w:abstractNumId w:val="17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00E6"/>
    <w:rsid w:val="00022CB5"/>
    <w:rsid w:val="000306A6"/>
    <w:rsid w:val="000420C2"/>
    <w:rsid w:val="00047783"/>
    <w:rsid w:val="000841C8"/>
    <w:rsid w:val="000C3418"/>
    <w:rsid w:val="000D0D08"/>
    <w:rsid w:val="000D1694"/>
    <w:rsid w:val="000F49F8"/>
    <w:rsid w:val="00100ABB"/>
    <w:rsid w:val="00102E56"/>
    <w:rsid w:val="0011786B"/>
    <w:rsid w:val="001306DA"/>
    <w:rsid w:val="00143BF9"/>
    <w:rsid w:val="00153938"/>
    <w:rsid w:val="00173B5A"/>
    <w:rsid w:val="0017662D"/>
    <w:rsid w:val="001B0A3B"/>
    <w:rsid w:val="001B48B7"/>
    <w:rsid w:val="001D4A7F"/>
    <w:rsid w:val="001E1818"/>
    <w:rsid w:val="001E3301"/>
    <w:rsid w:val="002331CA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4525AE"/>
    <w:rsid w:val="004C3AB1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85BB6"/>
    <w:rsid w:val="00687015"/>
    <w:rsid w:val="006C736A"/>
    <w:rsid w:val="006D58D9"/>
    <w:rsid w:val="006E09CA"/>
    <w:rsid w:val="006E284E"/>
    <w:rsid w:val="007168D7"/>
    <w:rsid w:val="00754669"/>
    <w:rsid w:val="00772F33"/>
    <w:rsid w:val="00797824"/>
    <w:rsid w:val="007A3B0F"/>
    <w:rsid w:val="007E14F9"/>
    <w:rsid w:val="007F1982"/>
    <w:rsid w:val="007F6F05"/>
    <w:rsid w:val="00804653"/>
    <w:rsid w:val="008135B5"/>
    <w:rsid w:val="0082397D"/>
    <w:rsid w:val="008262B4"/>
    <w:rsid w:val="00853D26"/>
    <w:rsid w:val="00857B70"/>
    <w:rsid w:val="008730BF"/>
    <w:rsid w:val="0087785C"/>
    <w:rsid w:val="00896C54"/>
    <w:rsid w:val="008A3F6B"/>
    <w:rsid w:val="008B396C"/>
    <w:rsid w:val="008C3FA2"/>
    <w:rsid w:val="008E52CC"/>
    <w:rsid w:val="008E5BAE"/>
    <w:rsid w:val="00913C84"/>
    <w:rsid w:val="0092021B"/>
    <w:rsid w:val="00933E22"/>
    <w:rsid w:val="0095327F"/>
    <w:rsid w:val="00956A2B"/>
    <w:rsid w:val="009609A4"/>
    <w:rsid w:val="00963F67"/>
    <w:rsid w:val="00964662"/>
    <w:rsid w:val="009813EB"/>
    <w:rsid w:val="00981BF2"/>
    <w:rsid w:val="0098394A"/>
    <w:rsid w:val="009A5C6D"/>
    <w:rsid w:val="009D6AF5"/>
    <w:rsid w:val="00A25366"/>
    <w:rsid w:val="00A4745B"/>
    <w:rsid w:val="00AB4F7A"/>
    <w:rsid w:val="00AF1013"/>
    <w:rsid w:val="00B00C4D"/>
    <w:rsid w:val="00B07338"/>
    <w:rsid w:val="00B11A5E"/>
    <w:rsid w:val="00B31E12"/>
    <w:rsid w:val="00B368CC"/>
    <w:rsid w:val="00BC3C82"/>
    <w:rsid w:val="00BD74B9"/>
    <w:rsid w:val="00BE6D78"/>
    <w:rsid w:val="00C13667"/>
    <w:rsid w:val="00C37B90"/>
    <w:rsid w:val="00C438ED"/>
    <w:rsid w:val="00C43F82"/>
    <w:rsid w:val="00C57655"/>
    <w:rsid w:val="00C72EF1"/>
    <w:rsid w:val="00C84D89"/>
    <w:rsid w:val="00CA3ECC"/>
    <w:rsid w:val="00CA4420"/>
    <w:rsid w:val="00CD6F17"/>
    <w:rsid w:val="00D027CA"/>
    <w:rsid w:val="00D17858"/>
    <w:rsid w:val="00D30D69"/>
    <w:rsid w:val="00D428F6"/>
    <w:rsid w:val="00D45F10"/>
    <w:rsid w:val="00D55FF5"/>
    <w:rsid w:val="00D73AD9"/>
    <w:rsid w:val="00D91B3C"/>
    <w:rsid w:val="00D95C56"/>
    <w:rsid w:val="00DA32AC"/>
    <w:rsid w:val="00DC55D2"/>
    <w:rsid w:val="00E158D9"/>
    <w:rsid w:val="00E642E4"/>
    <w:rsid w:val="00EC01FF"/>
    <w:rsid w:val="00ED30C5"/>
    <w:rsid w:val="00EF2DC1"/>
    <w:rsid w:val="00F17E73"/>
    <w:rsid w:val="00F46FAF"/>
    <w:rsid w:val="00F5120E"/>
    <w:rsid w:val="00F575A2"/>
    <w:rsid w:val="00FA65B8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1379A-5DC4-423C-A143-B998B7C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1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s.bo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Thea Giorgadze</cp:lastModifiedBy>
  <cp:revision>3</cp:revision>
  <cp:lastPrinted>2012-04-03T09:14:00Z</cp:lastPrinted>
  <dcterms:created xsi:type="dcterms:W3CDTF">2018-04-17T08:41:00Z</dcterms:created>
  <dcterms:modified xsi:type="dcterms:W3CDTF">2018-05-15T15:22:00Z</dcterms:modified>
</cp:coreProperties>
</file>