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74DE5E9A" w:rsidR="007D73CE" w:rsidRPr="00110CCE" w:rsidRDefault="00BB2543" w:rsidP="007D73CE">
      <w:pPr>
        <w:spacing w:after="0" w:line="360" w:lineRule="auto"/>
        <w:jc w:val="center"/>
        <w:rPr>
          <w:rFonts w:ascii="AcadNusx" w:hAnsi="AcadNusx"/>
          <w:b/>
        </w:rPr>
      </w:pPr>
      <w:r>
        <w:rPr>
          <w:rFonts w:ascii="Sylfaen" w:hAnsi="Sylfaen"/>
          <w:b/>
          <w:lang w:val="ka-GE"/>
        </w:rPr>
        <w:t>ჰორიზონტალური ბურღვის მომსახურების შესყიდვა</w:t>
      </w:r>
    </w:p>
    <w:p w14:paraId="5DA10CD7" w14:textId="5554B345"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DC0D67">
        <w:rPr>
          <w:rFonts w:ascii="Sylfaen" w:hAnsi="Sylfaen" w:cs="Sylfaen"/>
          <w:b/>
          <w:sz w:val="20"/>
          <w:szCs w:val="20"/>
          <w:lang w:val="ka-GE"/>
        </w:rPr>
        <w:t>0</w:t>
      </w:r>
      <w:r w:rsidR="0032073D">
        <w:rPr>
          <w:rFonts w:ascii="Sylfaen" w:hAnsi="Sylfaen" w:cs="Sylfaen"/>
          <w:b/>
          <w:sz w:val="20"/>
          <w:szCs w:val="20"/>
        </w:rPr>
        <w:t>59</w:t>
      </w:r>
      <w:r w:rsidR="007778CE" w:rsidRPr="00B34C80">
        <w:rPr>
          <w:rFonts w:ascii="Sylfaen" w:hAnsi="Sylfaen" w:cs="Sylfaen"/>
          <w:b/>
          <w:sz w:val="20"/>
          <w:szCs w:val="20"/>
          <w:lang w:val="ka-GE"/>
        </w:rPr>
        <w:t>-</w:t>
      </w:r>
      <w:r w:rsidR="007778CE" w:rsidRPr="00B34C80">
        <w:rPr>
          <w:rFonts w:ascii="Sylfaen" w:hAnsi="Sylfaen" w:cs="Sylfaen"/>
          <w:b/>
          <w:sz w:val="20"/>
          <w:szCs w:val="20"/>
          <w:lang w:val="en-GB"/>
        </w:rPr>
        <w:t>BID-</w:t>
      </w:r>
      <w:r w:rsidR="0032073D">
        <w:rPr>
          <w:rFonts w:ascii="Sylfaen" w:hAnsi="Sylfaen" w:cs="Sylfaen"/>
          <w:b/>
          <w:sz w:val="20"/>
          <w:szCs w:val="20"/>
          <w:lang w:val="en-GB"/>
        </w:rPr>
        <w:t>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7D1E221E" w14:textId="77777777" w:rsidR="00BB2543" w:rsidRPr="00110CCE" w:rsidRDefault="00BB2543" w:rsidP="00915880">
      <w:pPr>
        <w:spacing w:after="0" w:line="360" w:lineRule="auto"/>
        <w:ind w:left="-630"/>
        <w:jc w:val="center"/>
        <w:rPr>
          <w:rFonts w:ascii="AcadNusx" w:hAnsi="AcadNusx"/>
          <w:b/>
        </w:rPr>
      </w:pPr>
      <w:r>
        <w:rPr>
          <w:rFonts w:ascii="Sylfaen" w:hAnsi="Sylfaen"/>
          <w:b/>
          <w:lang w:val="ka-GE"/>
        </w:rPr>
        <w:lastRenderedPageBreak/>
        <w:t>ჰორიზონტალური ბურღვის მომსახურების შესყიდვა</w:t>
      </w:r>
    </w:p>
    <w:p w14:paraId="118BBCF6" w14:textId="16702841"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32073D">
        <w:rPr>
          <w:rFonts w:ascii="Sylfaen" w:hAnsi="Sylfaen" w:cs="Sylfaen"/>
          <w:b/>
          <w:sz w:val="20"/>
          <w:szCs w:val="20"/>
        </w:rPr>
        <w:t>059-BID-18</w:t>
      </w:r>
    </w:p>
    <w:p w14:paraId="38DCEA41" w14:textId="1146F0BA" w:rsidR="00A50438" w:rsidRDefault="00D30223" w:rsidP="00915880">
      <w:pPr>
        <w:pStyle w:val="Heading1"/>
        <w:numPr>
          <w:ilvl w:val="0"/>
          <w:numId w:val="8"/>
        </w:numPr>
        <w:ind w:left="-270"/>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457AD2AF" w:rsidR="00713EFC" w:rsidRPr="000B1C85" w:rsidRDefault="00D30223" w:rsidP="00915880">
      <w:pPr>
        <w:spacing w:after="0" w:line="360" w:lineRule="auto"/>
        <w:ind w:left="-63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BB2543" w:rsidRPr="00BB2543">
        <w:rPr>
          <w:rFonts w:ascii="Sylfaen" w:hAnsi="Sylfaen" w:cs="Sylfaen"/>
          <w:sz w:val="20"/>
          <w:szCs w:val="20"/>
          <w:lang w:val="ka-GE"/>
        </w:rPr>
        <w:t>ჰორიზონტალუ</w:t>
      </w:r>
      <w:r w:rsidR="00BB2543">
        <w:rPr>
          <w:rFonts w:ascii="Sylfaen" w:hAnsi="Sylfaen" w:cs="Sylfaen"/>
          <w:sz w:val="20"/>
          <w:szCs w:val="20"/>
          <w:lang w:val="ka-GE"/>
        </w:rPr>
        <w:t xml:space="preserve">რი ბურღვის მომსახურების შესყიდვის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2584525D" w:rsidR="00677E39" w:rsidRDefault="00D30223" w:rsidP="00915880">
      <w:pPr>
        <w:spacing w:after="0" w:line="360" w:lineRule="auto"/>
        <w:ind w:left="-63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605884F0" w14:textId="77777777" w:rsidR="00915880" w:rsidRPr="000B1C85" w:rsidRDefault="00915880" w:rsidP="007F2114">
      <w:pPr>
        <w:spacing w:after="0" w:line="240" w:lineRule="auto"/>
        <w:ind w:left="-630"/>
        <w:jc w:val="both"/>
        <w:rPr>
          <w:rFonts w:ascii="Sylfaen" w:hAnsi="Sylfaen"/>
          <w:sz w:val="20"/>
          <w:szCs w:val="20"/>
          <w:lang w:val="ka-GE"/>
        </w:rPr>
      </w:pPr>
    </w:p>
    <w:p w14:paraId="736A601C" w14:textId="711D6338" w:rsidR="005C14A4" w:rsidRPr="000B1C85" w:rsidRDefault="00D30223" w:rsidP="00915880">
      <w:pPr>
        <w:spacing w:after="0" w:line="360" w:lineRule="auto"/>
        <w:ind w:left="-63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E55D3F">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32073D">
        <w:rPr>
          <w:rFonts w:ascii="Sylfaen" w:hAnsi="Sylfaen" w:cs="Sylfaen"/>
          <w:b/>
          <w:sz w:val="20"/>
          <w:szCs w:val="20"/>
        </w:rPr>
        <w:t>059-BID-18</w:t>
      </w:r>
    </w:p>
    <w:p w14:paraId="52F61A17" w14:textId="3C8E01CE" w:rsidR="00867825" w:rsidRPr="00915880" w:rsidRDefault="00D30223" w:rsidP="00915880">
      <w:pPr>
        <w:spacing w:after="0" w:line="360" w:lineRule="auto"/>
        <w:ind w:left="-63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p>
    <w:p w14:paraId="73EB5899" w14:textId="1003C31D" w:rsidR="004D3679" w:rsidRDefault="004D3679" w:rsidP="007F2114">
      <w:pPr>
        <w:spacing w:after="0" w:line="240" w:lineRule="auto"/>
        <w:rPr>
          <w:rFonts w:ascii="Sylfaen" w:hAnsi="Sylfaen" w:cs="Sylfaen"/>
          <w:b/>
          <w:sz w:val="20"/>
          <w:szCs w:val="20"/>
          <w:u w:val="single"/>
          <w:lang w:val="ka-GE"/>
        </w:rPr>
      </w:pPr>
    </w:p>
    <w:p w14:paraId="02085C80" w14:textId="48735F73" w:rsidR="00677E39" w:rsidRDefault="006267A2" w:rsidP="00915880">
      <w:pPr>
        <w:spacing w:after="0" w:line="240" w:lineRule="auto"/>
        <w:ind w:left="-630"/>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7F2114">
      <w:pPr>
        <w:spacing w:after="0" w:line="240" w:lineRule="auto"/>
        <w:ind w:left="-630"/>
        <w:jc w:val="both"/>
        <w:rPr>
          <w:rFonts w:ascii="Sylfaen" w:hAnsi="Sylfaen" w:cs="Sylfaen"/>
          <w:sz w:val="20"/>
          <w:szCs w:val="20"/>
          <w:lang w:val="ka-GE"/>
        </w:rPr>
      </w:pPr>
    </w:p>
    <w:p w14:paraId="1569FC5D" w14:textId="7401BB54" w:rsidR="00B30838" w:rsidRDefault="00677E39" w:rsidP="00915880">
      <w:pPr>
        <w:spacing w:after="0" w:line="360" w:lineRule="auto"/>
        <w:ind w:left="-630"/>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F2114">
      <w:pPr>
        <w:pStyle w:val="ListParagraph"/>
        <w:spacing w:after="0" w:line="240" w:lineRule="auto"/>
        <w:ind w:left="90"/>
        <w:jc w:val="both"/>
        <w:rPr>
          <w:rFonts w:ascii="Sylfaen" w:hAnsi="Sylfaen"/>
          <w:sz w:val="20"/>
          <w:szCs w:val="20"/>
          <w:lang w:val="ka-GE"/>
        </w:rPr>
      </w:pPr>
    </w:p>
    <w:p w14:paraId="13FAFD34" w14:textId="21E7B167" w:rsidR="00237416" w:rsidRPr="00580531" w:rsidRDefault="00E65074" w:rsidP="00915880">
      <w:pPr>
        <w:spacing w:after="0" w:line="360" w:lineRule="auto"/>
        <w:ind w:left="-630"/>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32073D">
        <w:rPr>
          <w:rFonts w:ascii="Sylfaen" w:hAnsi="Sylfaen"/>
          <w:b/>
          <w:sz w:val="20"/>
          <w:szCs w:val="20"/>
        </w:rPr>
        <w:t>25</w:t>
      </w:r>
      <w:r w:rsidR="00302948" w:rsidRPr="00B34C80">
        <w:rPr>
          <w:rFonts w:ascii="Sylfaen" w:hAnsi="Sylfaen"/>
          <w:b/>
          <w:sz w:val="20"/>
          <w:szCs w:val="20"/>
          <w:lang w:val="ka-GE"/>
        </w:rPr>
        <w:t xml:space="preserve"> </w:t>
      </w:r>
      <w:r w:rsidR="0032073D">
        <w:rPr>
          <w:rFonts w:ascii="Sylfaen" w:hAnsi="Sylfaen"/>
          <w:b/>
          <w:sz w:val="20"/>
          <w:szCs w:val="20"/>
          <w:lang w:val="ka-GE"/>
        </w:rPr>
        <w:t>ივნისი</w:t>
      </w:r>
      <w:r w:rsidR="008751D7" w:rsidRPr="00B34C80">
        <w:rPr>
          <w:rFonts w:ascii="AcadNusx" w:hAnsi="AcadNusx"/>
          <w:b/>
          <w:sz w:val="20"/>
          <w:szCs w:val="20"/>
          <w:lang w:val="ka-GE"/>
        </w:rPr>
        <w:t xml:space="preserve"> </w:t>
      </w:r>
      <w:r w:rsidR="00667B1F" w:rsidRPr="00B34C80">
        <w:rPr>
          <w:rFonts w:ascii="Sylfaen" w:hAnsi="Sylfaen"/>
          <w:b/>
          <w:sz w:val="20"/>
          <w:szCs w:val="20"/>
          <w:lang w:val="ka-GE"/>
        </w:rPr>
        <w:t>201</w:t>
      </w:r>
      <w:r w:rsidR="0032073D">
        <w:rPr>
          <w:rFonts w:ascii="Sylfaen" w:hAnsi="Sylfaen"/>
          <w:b/>
          <w:sz w:val="20"/>
          <w:szCs w:val="20"/>
        </w:rPr>
        <w:t>8</w:t>
      </w:r>
      <w:r w:rsidR="00CB730B" w:rsidRPr="00B34C80">
        <w:rPr>
          <w:rFonts w:ascii="AcadNusx" w:hAnsi="AcadNusx"/>
          <w:b/>
          <w:sz w:val="20"/>
          <w:szCs w:val="20"/>
          <w:lang w:val="ka-GE"/>
        </w:rPr>
        <w:t>, 17</w:t>
      </w:r>
      <w:r w:rsidR="008E16DA" w:rsidRPr="00B34C80">
        <w:rPr>
          <w:rFonts w:ascii="AcadNusx" w:hAnsi="AcadNusx"/>
          <w:b/>
          <w:sz w:val="20"/>
          <w:szCs w:val="20"/>
          <w:lang w:val="ka-GE"/>
        </w:rPr>
        <w:t>:00</w:t>
      </w:r>
      <w:r w:rsidR="00580531" w:rsidRPr="00B34C80">
        <w:rPr>
          <w:rFonts w:ascii="Sylfaen" w:hAnsi="Sylfaen"/>
          <w:b/>
          <w:sz w:val="20"/>
          <w:szCs w:val="20"/>
          <w:lang w:val="ka-GE"/>
        </w:rPr>
        <w:t>.</w:t>
      </w:r>
    </w:p>
    <w:p w14:paraId="1ED073A8" w14:textId="56879195" w:rsidR="00833770" w:rsidRDefault="00E65074" w:rsidP="00915880">
      <w:pPr>
        <w:spacing w:after="0" w:line="360" w:lineRule="auto"/>
        <w:ind w:left="-630"/>
        <w:jc w:val="both"/>
        <w:rPr>
          <w:rFonts w:ascii="Sylfaen" w:hAnsi="Sylfaen"/>
          <w:b/>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29E8F51F" w14:textId="77777777" w:rsidR="00E55D3F" w:rsidRPr="00580531" w:rsidRDefault="00E55D3F" w:rsidP="00915880">
      <w:pPr>
        <w:spacing w:after="0" w:line="360" w:lineRule="auto"/>
        <w:ind w:left="-630"/>
        <w:jc w:val="both"/>
        <w:rPr>
          <w:rFonts w:ascii="AcadNusx" w:hAnsi="AcadNusx"/>
          <w:sz w:val="20"/>
          <w:szCs w:val="20"/>
          <w:lang w:val="ka-GE"/>
        </w:rPr>
      </w:pPr>
    </w:p>
    <w:p w14:paraId="3DF1BD9C" w14:textId="497220ED" w:rsidR="00833770" w:rsidRPr="000B1C85" w:rsidRDefault="000B1C85" w:rsidP="00915880">
      <w:pPr>
        <w:pStyle w:val="ListParagraph"/>
        <w:numPr>
          <w:ilvl w:val="0"/>
          <w:numId w:val="4"/>
        </w:numPr>
        <w:spacing w:after="0" w:line="360" w:lineRule="auto"/>
        <w:ind w:left="-270"/>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915880">
      <w:pPr>
        <w:pStyle w:val="ListParagraph"/>
        <w:numPr>
          <w:ilvl w:val="0"/>
          <w:numId w:val="4"/>
        </w:numPr>
        <w:spacing w:after="0" w:line="360" w:lineRule="auto"/>
        <w:ind w:left="-270"/>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30A65A94" w:rsidR="00833770" w:rsidRPr="00E55D3F" w:rsidRDefault="000B1C85" w:rsidP="00915880">
      <w:pPr>
        <w:pStyle w:val="ListParagraph"/>
        <w:numPr>
          <w:ilvl w:val="0"/>
          <w:numId w:val="4"/>
        </w:numPr>
        <w:spacing w:after="0" w:line="360" w:lineRule="auto"/>
        <w:ind w:left="-270"/>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8EDA11A" w14:textId="77777777" w:rsidR="00E55D3F" w:rsidRPr="00E55D3F" w:rsidRDefault="00E55D3F" w:rsidP="00E55D3F">
      <w:pPr>
        <w:spacing w:after="0" w:line="360" w:lineRule="auto"/>
        <w:jc w:val="both"/>
        <w:rPr>
          <w:rFonts w:ascii="Sylfaen" w:hAnsi="Sylfaen"/>
          <w:sz w:val="20"/>
          <w:szCs w:val="20"/>
          <w:u w:val="single"/>
          <w:lang w:val="ka-GE"/>
        </w:rPr>
      </w:pPr>
    </w:p>
    <w:p w14:paraId="3DBBC929" w14:textId="77777777" w:rsidR="00474D92" w:rsidRPr="00474D92" w:rsidRDefault="009C5EE2" w:rsidP="00915880">
      <w:pPr>
        <w:spacing w:after="0" w:line="360" w:lineRule="auto"/>
        <w:ind w:left="-630"/>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01B3ECEB" w:rsidR="00A804C4" w:rsidRDefault="00474D92" w:rsidP="00915880">
      <w:pPr>
        <w:spacing w:after="0" w:line="360" w:lineRule="auto"/>
        <w:ind w:left="-630"/>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w:t>
      </w:r>
      <w:r w:rsidR="007201B0">
        <w:rPr>
          <w:rFonts w:ascii="Sylfaen" w:hAnsi="Sylfaen"/>
          <w:sz w:val="20"/>
          <w:szCs w:val="20"/>
          <w:highlight w:val="yellow"/>
          <w:u w:val="single"/>
          <w:lang w:val="ka-GE"/>
        </w:rPr>
        <w:t>დ</w:t>
      </w:r>
      <w:r w:rsidRPr="00474D92">
        <w:rPr>
          <w:rFonts w:ascii="Sylfaen" w:hAnsi="Sylfaen"/>
          <w:sz w:val="20"/>
          <w:szCs w:val="20"/>
          <w:highlight w:val="yellow"/>
          <w:u w:val="single"/>
          <w:lang w:val="ka-GE"/>
        </w:rPr>
        <w:t>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3B65ABF1" w14:textId="77777777" w:rsidR="00BB2543" w:rsidRPr="00677E39" w:rsidRDefault="00BB2543" w:rsidP="007F2114">
      <w:pPr>
        <w:spacing w:after="0" w:line="240" w:lineRule="auto"/>
        <w:jc w:val="both"/>
        <w:rPr>
          <w:rFonts w:ascii="Sylfaen" w:hAnsi="Sylfaen"/>
          <w:sz w:val="20"/>
          <w:szCs w:val="20"/>
          <w:u w:val="single"/>
          <w:lang w:val="ka-GE"/>
        </w:rPr>
      </w:pPr>
    </w:p>
    <w:p w14:paraId="18192F9A" w14:textId="2FEAA2BA" w:rsidR="003011B3" w:rsidRPr="00580531" w:rsidRDefault="00580531" w:rsidP="00915880">
      <w:pPr>
        <w:pStyle w:val="ListParagraph"/>
        <w:numPr>
          <w:ilvl w:val="1"/>
          <w:numId w:val="8"/>
        </w:numPr>
        <w:spacing w:after="0" w:line="360" w:lineRule="auto"/>
        <w:ind w:left="-270" w:hanging="360"/>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6BC2769" w:rsidR="00580531" w:rsidRDefault="007F2114" w:rsidP="007F2114">
      <w:pPr>
        <w:pStyle w:val="ListParagraph"/>
        <w:spacing w:after="0" w:line="360" w:lineRule="auto"/>
        <w:ind w:left="-630"/>
        <w:jc w:val="both"/>
        <w:rPr>
          <w:rFonts w:ascii="Sylfaen" w:hAnsi="Sylfaen"/>
          <w:sz w:val="20"/>
          <w:szCs w:val="20"/>
          <w:lang w:val="ka-GE"/>
        </w:rPr>
      </w:pPr>
      <w:r>
        <w:rPr>
          <w:rFonts w:ascii="Sylfaen" w:hAnsi="Sylfaen"/>
          <w:sz w:val="20"/>
          <w:szCs w:val="20"/>
          <w:lang w:val="ka-GE"/>
        </w:rPr>
        <w:t>გამარჯვებულ კომპანიასთან გაფორმდება გენერალური ხელშეკრულება 6 (ექვსი) თვის ვადით.</w:t>
      </w:r>
    </w:p>
    <w:p w14:paraId="7645CB7A" w14:textId="729E105A" w:rsidR="00DB032F" w:rsidRPr="00DB032F" w:rsidRDefault="00DB032F" w:rsidP="00DB032F">
      <w:pPr>
        <w:pStyle w:val="ListParagraph"/>
        <w:spacing w:after="0" w:line="360" w:lineRule="auto"/>
        <w:ind w:left="-630"/>
        <w:jc w:val="both"/>
        <w:rPr>
          <w:rFonts w:ascii="Sylfaen" w:hAnsi="Sylfaen"/>
          <w:b/>
          <w:i/>
          <w:sz w:val="18"/>
          <w:szCs w:val="20"/>
          <w:lang w:val="ka-GE"/>
        </w:rPr>
      </w:pPr>
      <w:r w:rsidRPr="00DB032F">
        <w:rPr>
          <w:rFonts w:ascii="Sylfaen" w:hAnsi="Sylfaen"/>
          <w:b/>
          <w:i/>
          <w:sz w:val="18"/>
          <w:szCs w:val="20"/>
          <w:lang w:val="ka-GE"/>
        </w:rPr>
        <w:t>შენიშვნა: ხელშეკრულების პერიოდში შესასრულებელი სამუშაოების მოცულობი</w:t>
      </w:r>
      <w:r>
        <w:rPr>
          <w:rFonts w:ascii="Sylfaen" w:hAnsi="Sylfaen"/>
          <w:b/>
          <w:i/>
          <w:sz w:val="18"/>
          <w:szCs w:val="20"/>
          <w:lang w:val="ka-GE"/>
        </w:rPr>
        <w:t>ს შესახებ ინფორმაციის მისაღებად შეგიძლიათ მიმ</w:t>
      </w:r>
      <w:r w:rsidR="00A12F93">
        <w:rPr>
          <w:rFonts w:ascii="Sylfaen" w:hAnsi="Sylfaen"/>
          <w:b/>
          <w:i/>
          <w:sz w:val="18"/>
          <w:szCs w:val="20"/>
          <w:lang w:val="ka-GE"/>
        </w:rPr>
        <w:t>ართოთ შესყიდვების წარმომადგენელს (კახა გოგატიშვილი)</w:t>
      </w:r>
      <w:r>
        <w:rPr>
          <w:rFonts w:ascii="Sylfaen" w:hAnsi="Sylfaen"/>
          <w:b/>
          <w:i/>
          <w:sz w:val="18"/>
          <w:szCs w:val="20"/>
          <w:lang w:val="ka-GE"/>
        </w:rPr>
        <w:t xml:space="preserve"> </w:t>
      </w:r>
    </w:p>
    <w:p w14:paraId="39F5E85E" w14:textId="5A343797" w:rsidR="007F2114" w:rsidRDefault="007F2114" w:rsidP="00580531">
      <w:pPr>
        <w:pStyle w:val="ListParagraph"/>
        <w:spacing w:after="0" w:line="360" w:lineRule="auto"/>
        <w:ind w:left="1080"/>
        <w:jc w:val="both"/>
        <w:rPr>
          <w:rFonts w:ascii="Sylfaen" w:hAnsi="Sylfaen"/>
          <w:sz w:val="20"/>
          <w:szCs w:val="20"/>
          <w:lang w:val="ka-GE"/>
        </w:rPr>
      </w:pPr>
    </w:p>
    <w:p w14:paraId="20457878" w14:textId="77777777" w:rsidR="007F2114" w:rsidRDefault="007F2114"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7F2114">
      <w:pPr>
        <w:pStyle w:val="ListParagraph"/>
        <w:numPr>
          <w:ilvl w:val="0"/>
          <w:numId w:val="8"/>
        </w:numPr>
        <w:spacing w:after="0" w:line="360" w:lineRule="auto"/>
        <w:ind w:left="-270"/>
        <w:jc w:val="both"/>
        <w:rPr>
          <w:rFonts w:ascii="AcadNusx" w:hAnsi="AcadNusx"/>
          <w:b/>
          <w:sz w:val="20"/>
          <w:szCs w:val="20"/>
          <w:u w:val="single"/>
        </w:rPr>
      </w:pPr>
      <w:r>
        <w:rPr>
          <w:rFonts w:ascii="Sylfaen" w:hAnsi="Sylfaen"/>
          <w:b/>
          <w:sz w:val="20"/>
          <w:szCs w:val="20"/>
          <w:u w:val="single"/>
          <w:lang w:val="ka-GE"/>
        </w:rPr>
        <w:lastRenderedPageBreak/>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7F2114">
      <w:pPr>
        <w:spacing w:after="0" w:line="240" w:lineRule="auto"/>
        <w:ind w:left="-630"/>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7F2114">
      <w:pPr>
        <w:spacing w:after="0" w:line="240" w:lineRule="auto"/>
        <w:ind w:left="-630"/>
        <w:rPr>
          <w:rFonts w:ascii="Sylfaen" w:hAnsi="Sylfaen"/>
          <w:b/>
          <w:sz w:val="20"/>
          <w:szCs w:val="20"/>
          <w:lang w:val="ka-GE"/>
        </w:rPr>
      </w:pPr>
    </w:p>
    <w:p w14:paraId="3DBD5D0B" w14:textId="77777777" w:rsidR="00C41C03" w:rsidRPr="00580531" w:rsidRDefault="00C41C03" w:rsidP="007F2114">
      <w:pPr>
        <w:spacing w:after="0" w:line="360" w:lineRule="auto"/>
        <w:ind w:left="-63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BF5330B" w:rsidR="00E33A8F" w:rsidRPr="00580531" w:rsidRDefault="00E33A8F" w:rsidP="007F2114">
      <w:pPr>
        <w:spacing w:after="0" w:line="360" w:lineRule="auto"/>
        <w:ind w:left="-63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32073D">
        <w:rPr>
          <w:rFonts w:ascii="Sylfaen" w:hAnsi="Sylfaen"/>
          <w:sz w:val="20"/>
          <w:szCs w:val="20"/>
          <w:lang w:val="ka-GE"/>
        </w:rPr>
        <w:t>გიორგი დემეტრაშვილი</w:t>
      </w:r>
    </w:p>
    <w:p w14:paraId="11F82C8E" w14:textId="77777777" w:rsidR="00E33A8F" w:rsidRPr="00580531" w:rsidRDefault="00E33A8F" w:rsidP="007F2114">
      <w:pPr>
        <w:spacing w:after="0" w:line="360" w:lineRule="auto"/>
        <w:ind w:left="-63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336CE67" w:rsidR="00E33A8F" w:rsidRPr="00E10CC1" w:rsidRDefault="00E33A8F" w:rsidP="007F2114">
      <w:pPr>
        <w:spacing w:after="0" w:line="360" w:lineRule="auto"/>
        <w:ind w:left="-630"/>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0032073D">
        <w:rPr>
          <w:rStyle w:val="Hyperlink"/>
          <w:rFonts w:ascii="Sylfaen" w:hAnsi="Sylfaen" w:cs="Arial"/>
          <w:sz w:val="20"/>
        </w:rPr>
        <w:t>gdemetrashvili</w:t>
      </w:r>
      <w:r w:rsidRPr="007F2114">
        <w:rPr>
          <w:rStyle w:val="Hyperlink"/>
          <w:rFonts w:cs="Arial"/>
          <w:sz w:val="20"/>
        </w:rPr>
        <w:t>@gwp.ge</w:t>
      </w:r>
    </w:p>
    <w:p w14:paraId="29423B06" w14:textId="74CE9BD7" w:rsidR="00E33A8F" w:rsidRPr="0032073D" w:rsidRDefault="00E33A8F" w:rsidP="007F2114">
      <w:pPr>
        <w:spacing w:after="0" w:line="360" w:lineRule="auto"/>
        <w:ind w:left="-630"/>
        <w:jc w:val="both"/>
        <w:rPr>
          <w:rFonts w:ascii="Arial" w:hAnsi="Arial" w:cs="Arial"/>
          <w:sz w:val="20"/>
          <w:szCs w:val="20"/>
        </w:rPr>
      </w:pPr>
      <w:r>
        <w:rPr>
          <w:rFonts w:ascii="Sylfaen" w:hAnsi="Sylfaen"/>
          <w:sz w:val="20"/>
          <w:szCs w:val="20"/>
          <w:lang w:val="ka-GE"/>
        </w:rPr>
        <w:t>ტელ.</w:t>
      </w:r>
      <w:r w:rsidR="00BB2543">
        <w:rPr>
          <w:rFonts w:ascii="Arial" w:hAnsi="Arial" w:cs="Arial"/>
          <w:sz w:val="20"/>
          <w:szCs w:val="20"/>
          <w:lang w:val="ka-GE"/>
        </w:rPr>
        <w:t xml:space="preserve">: </w:t>
      </w:r>
      <w:r w:rsidR="00BB2543" w:rsidRPr="00DB032F">
        <w:rPr>
          <w:rFonts w:cs="Arial"/>
          <w:sz w:val="20"/>
          <w:szCs w:val="20"/>
          <w:lang w:val="ka-GE"/>
        </w:rPr>
        <w:t>+995 322 931111 (1</w:t>
      </w:r>
      <w:r w:rsidR="0032073D">
        <w:rPr>
          <w:rFonts w:cs="Arial"/>
          <w:sz w:val="20"/>
          <w:szCs w:val="20"/>
        </w:rPr>
        <w:t>451</w:t>
      </w:r>
      <w:r w:rsidRPr="00DB032F">
        <w:rPr>
          <w:rFonts w:cs="Arial"/>
          <w:sz w:val="20"/>
          <w:szCs w:val="20"/>
          <w:lang w:val="ka-GE"/>
        </w:rPr>
        <w:t xml:space="preserve">); </w:t>
      </w:r>
      <w:r w:rsidR="0032073D">
        <w:rPr>
          <w:rFonts w:cs="Arial"/>
          <w:sz w:val="20"/>
          <w:szCs w:val="20"/>
        </w:rPr>
        <w:t>591 07 07 42</w:t>
      </w:r>
      <w:r w:rsidR="0032073D">
        <w:rPr>
          <w:rFonts w:cs="Arial"/>
          <w:sz w:val="20"/>
          <w:szCs w:val="20"/>
        </w:rPr>
        <w:tab/>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7F2114">
      <w:pPr>
        <w:spacing w:after="0" w:line="360" w:lineRule="auto"/>
        <w:ind w:left="-63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7F2114">
      <w:pPr>
        <w:spacing w:after="0" w:line="360" w:lineRule="auto"/>
        <w:ind w:left="-63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7F2114">
      <w:pPr>
        <w:spacing w:after="0" w:line="360" w:lineRule="auto"/>
        <w:ind w:left="-630"/>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7F2114">
      <w:pPr>
        <w:spacing w:after="0" w:line="360" w:lineRule="auto"/>
        <w:ind w:left="-630"/>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58D236C0" w14:textId="31E8204B"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7F2114">
      <w:pPr>
        <w:pStyle w:val="ListParagraph"/>
        <w:numPr>
          <w:ilvl w:val="0"/>
          <w:numId w:val="8"/>
        </w:numPr>
        <w:spacing w:after="0" w:line="360" w:lineRule="auto"/>
        <w:ind w:left="-270"/>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7F2114">
      <w:pPr>
        <w:pStyle w:val="ListParagraph"/>
        <w:tabs>
          <w:tab w:val="left" w:pos="426"/>
        </w:tabs>
        <w:spacing w:after="0" w:line="360" w:lineRule="auto"/>
        <w:ind w:left="-270" w:hanging="360"/>
        <w:jc w:val="both"/>
        <w:rPr>
          <w:rFonts w:ascii="Sylfaen" w:hAnsi="Sylfaen"/>
          <w:sz w:val="20"/>
          <w:szCs w:val="20"/>
          <w:lang w:val="ka-GE"/>
        </w:rPr>
      </w:pPr>
    </w:p>
    <w:p w14:paraId="3199BFF1" w14:textId="6060D787" w:rsidR="00E45E7B" w:rsidRPr="007F2114" w:rsidRDefault="00E45E7B" w:rsidP="007F2114">
      <w:pPr>
        <w:pStyle w:val="ListParagraph"/>
        <w:numPr>
          <w:ilvl w:val="1"/>
          <w:numId w:val="19"/>
        </w:numPr>
        <w:spacing w:after="0" w:line="360" w:lineRule="auto"/>
        <w:ind w:left="-270"/>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E393A25" w14:textId="77777777" w:rsidR="007F2114" w:rsidRPr="00110CCE" w:rsidRDefault="007F2114" w:rsidP="007F2114">
      <w:pPr>
        <w:pStyle w:val="ListParagraph"/>
        <w:spacing w:after="0" w:line="240" w:lineRule="auto"/>
        <w:ind w:left="-270"/>
        <w:jc w:val="both"/>
        <w:rPr>
          <w:rFonts w:ascii="AcadNusx" w:hAnsi="AcadNusx"/>
          <w:sz w:val="20"/>
          <w:szCs w:val="20"/>
          <w:lang w:val="ka-GE"/>
        </w:rPr>
      </w:pPr>
    </w:p>
    <w:p w14:paraId="72655B5C" w14:textId="231A0DC1" w:rsidR="00E45E7B" w:rsidRPr="00110CCE" w:rsidRDefault="00E45E7B" w:rsidP="007F2114">
      <w:pPr>
        <w:pStyle w:val="ListParagraph"/>
        <w:numPr>
          <w:ilvl w:val="0"/>
          <w:numId w:val="21"/>
        </w:numPr>
        <w:tabs>
          <w:tab w:val="left" w:pos="426"/>
        </w:tabs>
        <w:spacing w:before="120" w:after="0" w:line="360" w:lineRule="auto"/>
        <w:ind w:left="-270"/>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7F2114">
      <w:pPr>
        <w:pStyle w:val="ListParagraph"/>
        <w:numPr>
          <w:ilvl w:val="0"/>
          <w:numId w:val="21"/>
        </w:numPr>
        <w:tabs>
          <w:tab w:val="left" w:pos="426"/>
        </w:tabs>
        <w:spacing w:before="120" w:after="0" w:line="360" w:lineRule="auto"/>
        <w:ind w:left="-270"/>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5983387C" w:rsidR="00E45E7B" w:rsidRPr="007F2114" w:rsidRDefault="00E45E7B" w:rsidP="007F2114">
      <w:pPr>
        <w:pStyle w:val="ListParagraph"/>
        <w:numPr>
          <w:ilvl w:val="0"/>
          <w:numId w:val="21"/>
        </w:numPr>
        <w:tabs>
          <w:tab w:val="left" w:pos="426"/>
        </w:tabs>
        <w:spacing w:before="120" w:after="0" w:line="360" w:lineRule="auto"/>
        <w:ind w:left="-270"/>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1A1AE409" w14:textId="77777777" w:rsidR="007F2114" w:rsidRPr="000B35C1" w:rsidRDefault="007F2114" w:rsidP="007F2114">
      <w:pPr>
        <w:pStyle w:val="ListParagraph"/>
        <w:tabs>
          <w:tab w:val="left" w:pos="426"/>
        </w:tabs>
        <w:spacing w:before="120" w:after="0" w:line="240" w:lineRule="auto"/>
        <w:ind w:left="-270"/>
        <w:jc w:val="both"/>
        <w:rPr>
          <w:rFonts w:ascii="AcadNusx" w:hAnsi="AcadNusx"/>
          <w:sz w:val="20"/>
          <w:szCs w:val="20"/>
          <w:lang w:val="ka-GE"/>
        </w:rPr>
      </w:pPr>
    </w:p>
    <w:p w14:paraId="56F4524A" w14:textId="6FE77AF6" w:rsidR="0090279D" w:rsidRPr="00F47570" w:rsidRDefault="00E45E7B" w:rsidP="007F2114">
      <w:pPr>
        <w:pStyle w:val="ListParagraph"/>
        <w:numPr>
          <w:ilvl w:val="1"/>
          <w:numId w:val="19"/>
        </w:numPr>
        <w:spacing w:after="0" w:line="360" w:lineRule="auto"/>
        <w:ind w:left="-270"/>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7F2114">
      <w:pPr>
        <w:pStyle w:val="ListParagraph"/>
        <w:numPr>
          <w:ilvl w:val="1"/>
          <w:numId w:val="19"/>
        </w:numPr>
        <w:ind w:left="-270"/>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7F2114">
      <w:pPr>
        <w:pStyle w:val="ListParagraph"/>
        <w:numPr>
          <w:ilvl w:val="1"/>
          <w:numId w:val="19"/>
        </w:numPr>
        <w:spacing w:after="0" w:line="360" w:lineRule="auto"/>
        <w:ind w:left="-270"/>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3DB42C17" w14:textId="77777777" w:rsidR="007F2114" w:rsidRDefault="007F2114" w:rsidP="007F2114">
      <w:pPr>
        <w:spacing w:after="0" w:line="360" w:lineRule="auto"/>
        <w:ind w:left="-270"/>
        <w:jc w:val="both"/>
        <w:rPr>
          <w:rFonts w:ascii="Sylfaen" w:hAnsi="Sylfaen"/>
          <w:sz w:val="20"/>
          <w:szCs w:val="20"/>
          <w:lang w:val="ka-GE"/>
        </w:rPr>
      </w:pPr>
    </w:p>
    <w:p w14:paraId="5843445E" w14:textId="77777777" w:rsidR="007F2114" w:rsidRDefault="007F2114" w:rsidP="007F2114">
      <w:pPr>
        <w:spacing w:after="0" w:line="360" w:lineRule="auto"/>
        <w:ind w:left="-270"/>
        <w:jc w:val="both"/>
        <w:rPr>
          <w:rFonts w:ascii="Sylfaen" w:hAnsi="Sylfaen"/>
          <w:sz w:val="20"/>
          <w:szCs w:val="20"/>
          <w:lang w:val="ka-GE"/>
        </w:rPr>
      </w:pPr>
    </w:p>
    <w:p w14:paraId="511A5F38" w14:textId="402B4D5A" w:rsidR="00B30838" w:rsidRDefault="00B30838" w:rsidP="007F2114">
      <w:pPr>
        <w:spacing w:after="0" w:line="360" w:lineRule="auto"/>
        <w:ind w:left="-630" w:firstLine="45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7F2114">
      <w:pPr>
        <w:pStyle w:val="ListParagraph"/>
        <w:spacing w:after="0" w:line="360" w:lineRule="auto"/>
        <w:ind w:left="-63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7F2114">
      <w:pPr>
        <w:pStyle w:val="ListParagraph"/>
        <w:spacing w:after="0" w:line="360" w:lineRule="auto"/>
        <w:ind w:left="-63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231E2BBB" w:rsidR="00B30838" w:rsidRDefault="000202A5" w:rsidP="007F2114">
      <w:pPr>
        <w:spacing w:after="0" w:line="360" w:lineRule="auto"/>
        <w:ind w:left="-630"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7F2114">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5576D5" w:rsidRDefault="000202A5" w:rsidP="007F2114">
      <w:pPr>
        <w:spacing w:after="0" w:line="360" w:lineRule="auto"/>
        <w:ind w:left="-630" w:firstLine="426"/>
        <w:jc w:val="both"/>
        <w:rPr>
          <w:rFonts w:ascii="AcadNusx" w:hAnsi="AcadNusx"/>
          <w:b/>
          <w:sz w:val="18"/>
          <w:szCs w:val="18"/>
          <w:lang w:val="es-MX"/>
        </w:rPr>
      </w:pPr>
      <w:r w:rsidRPr="005576D5">
        <w:rPr>
          <w:rFonts w:ascii="Sylfaen" w:hAnsi="Sylfaen"/>
          <w:b/>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E55D3F">
      <w:pPr>
        <w:spacing w:after="0" w:line="240" w:lineRule="auto"/>
        <w:ind w:left="-630"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7F2114">
      <w:pPr>
        <w:spacing w:after="0" w:line="360" w:lineRule="auto"/>
        <w:ind w:left="-630"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E55D3F">
      <w:pPr>
        <w:pStyle w:val="ListParagraph"/>
        <w:spacing w:after="0" w:line="240" w:lineRule="auto"/>
        <w:ind w:left="1080"/>
        <w:jc w:val="both"/>
        <w:rPr>
          <w:sz w:val="20"/>
          <w:szCs w:val="20"/>
          <w:lang w:val="es-MX"/>
        </w:rPr>
      </w:pPr>
    </w:p>
    <w:p w14:paraId="21CAE44A" w14:textId="402F66C7" w:rsidR="00A50438" w:rsidRPr="00B5452A" w:rsidRDefault="000202A5" w:rsidP="007F2114">
      <w:pPr>
        <w:pStyle w:val="ListParagraph"/>
        <w:numPr>
          <w:ilvl w:val="0"/>
          <w:numId w:val="8"/>
        </w:numPr>
        <w:spacing w:after="0" w:line="360" w:lineRule="auto"/>
        <w:ind w:left="-270" w:hanging="45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12B7B3BF" w:rsidR="00833770" w:rsidRPr="00BB446B" w:rsidRDefault="000202A5" w:rsidP="007F2114">
      <w:pPr>
        <w:pStyle w:val="ListParagraph"/>
        <w:numPr>
          <w:ilvl w:val="1"/>
          <w:numId w:val="8"/>
        </w:numPr>
        <w:spacing w:after="0" w:line="360" w:lineRule="auto"/>
        <w:ind w:left="-270"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w:t>
      </w:r>
      <w:r w:rsidR="00E55D3F">
        <w:rPr>
          <w:rFonts w:ascii="Sylfaen" w:hAnsi="Sylfaen"/>
          <w:sz w:val="20"/>
          <w:szCs w:val="20"/>
          <w:lang w:val="ka-GE"/>
        </w:rPr>
        <w:t>შესრულებული სამუშაოს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w:t>
      </w:r>
      <w:bookmarkStart w:id="2" w:name="_GoBack"/>
      <w:bookmarkEnd w:id="2"/>
      <w:r w:rsidRPr="00B5452A">
        <w:rPr>
          <w:rFonts w:ascii="Sylfaen" w:hAnsi="Sylfaen"/>
          <w:sz w:val="20"/>
          <w:szCs w:val="20"/>
          <w:lang w:val="ka-GE"/>
        </w:rPr>
        <w:t>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115E1F89" w14:textId="77777777" w:rsidR="00BB446B" w:rsidRPr="00BB446B" w:rsidRDefault="00BB446B" w:rsidP="00E55D3F">
      <w:pPr>
        <w:spacing w:after="0" w:line="240" w:lineRule="auto"/>
        <w:jc w:val="both"/>
        <w:rPr>
          <w:rFonts w:ascii="AcadNusx" w:hAnsi="AcadNusx"/>
          <w:sz w:val="20"/>
          <w:szCs w:val="20"/>
          <w:lang w:val="es-MX"/>
        </w:rPr>
      </w:pPr>
    </w:p>
    <w:p w14:paraId="44D22361" w14:textId="4CA94D6C" w:rsidR="00833770" w:rsidRDefault="000202A5" w:rsidP="00E55D3F">
      <w:pPr>
        <w:pStyle w:val="ListParagraph"/>
        <w:numPr>
          <w:ilvl w:val="0"/>
          <w:numId w:val="8"/>
        </w:numPr>
        <w:spacing w:after="0" w:line="360" w:lineRule="auto"/>
        <w:ind w:left="-270" w:hanging="45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160C0FF0" w14:textId="77777777" w:rsidR="005551A1" w:rsidRPr="005551A1" w:rsidRDefault="005551A1" w:rsidP="005551A1">
      <w:pPr>
        <w:spacing w:after="0" w:line="360" w:lineRule="auto"/>
        <w:jc w:val="both"/>
        <w:rPr>
          <w:rFonts w:ascii="AcadNusx" w:hAnsi="AcadNusx"/>
          <w:b/>
          <w:sz w:val="24"/>
          <w:szCs w:val="24"/>
        </w:rPr>
      </w:pPr>
    </w:p>
    <w:p w14:paraId="0B35414A" w14:textId="7413A1D4" w:rsidR="004A3BD8" w:rsidRDefault="004A3BD8" w:rsidP="00E55D3F">
      <w:pPr>
        <w:pStyle w:val="ListParagraph"/>
        <w:numPr>
          <w:ilvl w:val="1"/>
          <w:numId w:val="5"/>
        </w:numPr>
        <w:spacing w:after="0" w:line="360" w:lineRule="auto"/>
        <w:ind w:left="-270" w:hanging="450"/>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3101DE13" w:rsidR="004A3BD8" w:rsidRPr="00677E39" w:rsidRDefault="004A3BD8" w:rsidP="00E55D3F">
      <w:pPr>
        <w:pStyle w:val="ListParagraph"/>
        <w:numPr>
          <w:ilvl w:val="1"/>
          <w:numId w:val="5"/>
        </w:numPr>
        <w:spacing w:after="0" w:line="360" w:lineRule="auto"/>
        <w:ind w:left="-270" w:hanging="450"/>
        <w:jc w:val="both"/>
        <w:rPr>
          <w:rFonts w:ascii="Sylfaen" w:hAnsi="Sylfaen"/>
          <w:b/>
          <w:sz w:val="20"/>
          <w:szCs w:val="20"/>
          <w:lang w:val="ka-GE"/>
        </w:rPr>
      </w:pPr>
      <w:r w:rsidRPr="00677E39">
        <w:rPr>
          <w:rFonts w:ascii="Sylfaen" w:hAnsi="Sylfaen"/>
          <w:b/>
          <w:sz w:val="20"/>
          <w:szCs w:val="20"/>
          <w:lang w:val="ka-GE"/>
        </w:rPr>
        <w:t xml:space="preserve">კომერციული წინადადება, რომელიც უნდა </w:t>
      </w:r>
      <w:r w:rsidR="00BB2543">
        <w:rPr>
          <w:rFonts w:ascii="Sylfaen" w:hAnsi="Sylfaen"/>
          <w:b/>
          <w:sz w:val="20"/>
          <w:szCs w:val="20"/>
          <w:lang w:val="ka-GE"/>
        </w:rPr>
        <w:t>მოიცავდეს შესყიდვის ღირებულებას</w:t>
      </w:r>
      <w:r w:rsidR="0032073D">
        <w:rPr>
          <w:rFonts w:ascii="Sylfaen" w:hAnsi="Sylfaen"/>
          <w:b/>
          <w:sz w:val="20"/>
          <w:szCs w:val="20"/>
          <w:lang w:val="ka-GE"/>
        </w:rPr>
        <w:t xml:space="preserve"> </w:t>
      </w:r>
      <w:r w:rsidR="0032073D">
        <w:rPr>
          <w:rFonts w:ascii="Sylfaen" w:hAnsi="Sylfaen"/>
          <w:b/>
          <w:sz w:val="20"/>
          <w:szCs w:val="20"/>
        </w:rPr>
        <w:t>(</w:t>
      </w:r>
      <w:r w:rsidR="0032073D">
        <w:rPr>
          <w:rFonts w:ascii="Sylfaen" w:hAnsi="Sylfaen"/>
          <w:b/>
          <w:sz w:val="20"/>
          <w:szCs w:val="20"/>
          <w:lang w:val="ka-GE"/>
        </w:rPr>
        <w:t>კომერციული წინადადება დაანგარიშებული უნდა იყოს ზედაპირული გაზომვის მეთოდით)</w:t>
      </w:r>
      <w:r w:rsidR="004D3679" w:rsidRPr="00677E39">
        <w:rPr>
          <w:rFonts w:ascii="Sylfaen" w:hAnsi="Sylfaen"/>
          <w:b/>
          <w:sz w:val="20"/>
          <w:szCs w:val="20"/>
          <w:lang w:val="ka-GE"/>
        </w:rPr>
        <w:t xml:space="preserve">; </w:t>
      </w:r>
    </w:p>
    <w:p w14:paraId="6A8824DD" w14:textId="6C23804D" w:rsidR="004A3BD8" w:rsidRPr="00677E39" w:rsidRDefault="004A3BD8" w:rsidP="00E55D3F">
      <w:pPr>
        <w:pStyle w:val="ListParagraph"/>
        <w:numPr>
          <w:ilvl w:val="1"/>
          <w:numId w:val="5"/>
        </w:numPr>
        <w:spacing w:after="0" w:line="360" w:lineRule="auto"/>
        <w:ind w:left="-270" w:hanging="450"/>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E55D3F">
      <w:pPr>
        <w:pStyle w:val="ListParagraph"/>
        <w:numPr>
          <w:ilvl w:val="1"/>
          <w:numId w:val="5"/>
        </w:numPr>
        <w:spacing w:after="0" w:line="360" w:lineRule="auto"/>
        <w:ind w:left="-270" w:hanging="450"/>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66A67B8D" w:rsidR="008918CD" w:rsidRDefault="008918CD" w:rsidP="00E55D3F">
      <w:pPr>
        <w:pStyle w:val="ListParagraph"/>
        <w:numPr>
          <w:ilvl w:val="1"/>
          <w:numId w:val="5"/>
        </w:numPr>
        <w:spacing w:after="0" w:line="360" w:lineRule="auto"/>
        <w:ind w:left="-270" w:hanging="450"/>
        <w:jc w:val="both"/>
        <w:rPr>
          <w:rFonts w:ascii="Sylfaen" w:hAnsi="Sylfaen"/>
          <w:b/>
          <w:sz w:val="20"/>
          <w:szCs w:val="20"/>
          <w:lang w:val="ka-GE"/>
        </w:rPr>
      </w:pPr>
      <w:r w:rsidRPr="00677E39">
        <w:rPr>
          <w:rFonts w:ascii="Sylfaen" w:hAnsi="Sylfaen"/>
          <w:b/>
          <w:sz w:val="20"/>
          <w:szCs w:val="20"/>
          <w:lang w:val="ka-GE"/>
        </w:rPr>
        <w:lastRenderedPageBreak/>
        <w:t xml:space="preserve">უკანასკნელი </w:t>
      </w:r>
      <w:r w:rsidRPr="00DC0D67">
        <w:rPr>
          <w:rFonts w:ascii="Sylfaen" w:hAnsi="Sylfaen"/>
          <w:b/>
          <w:sz w:val="20"/>
          <w:szCs w:val="20"/>
          <w:lang w:val="ka-GE"/>
        </w:rPr>
        <w:t>2 წლის</w:t>
      </w:r>
      <w:r w:rsidRPr="00677E39">
        <w:rPr>
          <w:rFonts w:ascii="Sylfaen" w:hAnsi="Sylfaen"/>
          <w:b/>
          <w:sz w:val="20"/>
          <w:szCs w:val="20"/>
          <w:lang w:val="ka-GE"/>
        </w:rPr>
        <w:t xml:space="preserve"> განმავლობაში ანალოგიური  </w:t>
      </w:r>
      <w:r w:rsidR="00BB2543">
        <w:rPr>
          <w:rFonts w:ascii="Sylfaen" w:hAnsi="Sylfaen"/>
          <w:b/>
          <w:sz w:val="20"/>
          <w:szCs w:val="20"/>
          <w:lang w:val="ka-GE"/>
        </w:rPr>
        <w:t>მომსახურების</w:t>
      </w:r>
      <w:r w:rsidR="00677E39">
        <w:rPr>
          <w:rFonts w:ascii="Sylfaen" w:hAnsi="Sylfaen"/>
          <w:b/>
          <w:sz w:val="20"/>
          <w:szCs w:val="20"/>
          <w:lang w:val="ka-GE"/>
        </w:rPr>
        <w:t xml:space="preserve"> მიწოდების გამოცდილება</w:t>
      </w:r>
      <w:r w:rsidR="00DB032F">
        <w:rPr>
          <w:rFonts w:ascii="Sylfaen" w:hAnsi="Sylfaen"/>
          <w:b/>
          <w:sz w:val="20"/>
          <w:szCs w:val="20"/>
          <w:lang w:val="ka-GE"/>
        </w:rPr>
        <w:t>.</w:t>
      </w:r>
    </w:p>
    <w:p w14:paraId="0EB17B3B" w14:textId="6EE88743" w:rsidR="005551A1" w:rsidRPr="005551A1" w:rsidRDefault="005551A1" w:rsidP="005551A1">
      <w:pPr>
        <w:pStyle w:val="ListParagraph"/>
        <w:numPr>
          <w:ilvl w:val="1"/>
          <w:numId w:val="5"/>
        </w:numPr>
        <w:spacing w:after="0" w:line="360" w:lineRule="auto"/>
        <w:ind w:left="-270" w:hanging="450"/>
        <w:jc w:val="both"/>
        <w:rPr>
          <w:rFonts w:ascii="Sylfaen" w:hAnsi="Sylfaen"/>
          <w:b/>
          <w:sz w:val="20"/>
          <w:szCs w:val="20"/>
          <w:lang w:val="ka-GE"/>
        </w:rPr>
      </w:pPr>
      <w:r w:rsidRPr="005551A1">
        <w:rPr>
          <w:rFonts w:ascii="Sylfaen" w:hAnsi="Sylfaen" w:cs="Sylfaen"/>
          <w:b/>
          <w:sz w:val="20"/>
          <w:szCs w:val="20"/>
          <w:lang w:val="ka-GE"/>
        </w:rPr>
        <w:t>სრულად</w:t>
      </w:r>
      <w:r w:rsidRPr="005551A1">
        <w:rPr>
          <w:rFonts w:ascii="Sylfaen" w:hAnsi="Sylfaen"/>
          <w:b/>
          <w:sz w:val="20"/>
          <w:szCs w:val="20"/>
          <w:lang w:val="ka-GE"/>
        </w:rPr>
        <w:t xml:space="preserve"> </w:t>
      </w:r>
      <w:r w:rsidRPr="005551A1">
        <w:rPr>
          <w:rFonts w:ascii="Sylfaen" w:hAnsi="Sylfaen" w:cs="Sylfaen"/>
          <w:b/>
          <w:sz w:val="20"/>
          <w:szCs w:val="20"/>
          <w:lang w:val="ka-GE"/>
        </w:rPr>
        <w:t>შევსებული</w:t>
      </w:r>
      <w:r w:rsidRPr="005551A1">
        <w:rPr>
          <w:rFonts w:ascii="Sylfaen" w:hAnsi="Sylfaen"/>
          <w:b/>
          <w:sz w:val="20"/>
          <w:szCs w:val="20"/>
          <w:lang w:val="ka-GE"/>
        </w:rPr>
        <w:t xml:space="preserve"> (</w:t>
      </w:r>
      <w:r w:rsidRPr="005551A1">
        <w:rPr>
          <w:rFonts w:ascii="Sylfaen" w:hAnsi="Sylfaen" w:cs="Sylfaen"/>
          <w:b/>
          <w:sz w:val="20"/>
          <w:szCs w:val="20"/>
          <w:lang w:val="ka-GE"/>
        </w:rPr>
        <w:t>ქართულ</w:t>
      </w:r>
      <w:r w:rsidRPr="005551A1">
        <w:rPr>
          <w:rFonts w:ascii="Sylfaen" w:hAnsi="Sylfaen"/>
          <w:b/>
          <w:sz w:val="20"/>
          <w:szCs w:val="20"/>
          <w:lang w:val="ka-GE"/>
        </w:rPr>
        <w:t xml:space="preserve"> </w:t>
      </w:r>
      <w:r w:rsidRPr="005551A1">
        <w:rPr>
          <w:rFonts w:ascii="Sylfaen" w:hAnsi="Sylfaen" w:cs="Sylfaen"/>
          <w:b/>
          <w:sz w:val="20"/>
          <w:szCs w:val="20"/>
          <w:lang w:val="ka-GE"/>
        </w:rPr>
        <w:t>და</w:t>
      </w:r>
      <w:r w:rsidRPr="005551A1">
        <w:rPr>
          <w:rFonts w:ascii="Sylfaen" w:hAnsi="Sylfaen"/>
          <w:b/>
          <w:sz w:val="20"/>
          <w:szCs w:val="20"/>
          <w:lang w:val="ka-GE"/>
        </w:rPr>
        <w:t xml:space="preserve"> </w:t>
      </w:r>
      <w:r w:rsidRPr="005551A1">
        <w:rPr>
          <w:rFonts w:ascii="Sylfaen" w:hAnsi="Sylfaen" w:cs="Sylfaen"/>
          <w:b/>
          <w:sz w:val="20"/>
          <w:szCs w:val="20"/>
          <w:lang w:val="ka-GE"/>
        </w:rPr>
        <w:t>ინგლისურ</w:t>
      </w:r>
      <w:r w:rsidRPr="005551A1">
        <w:rPr>
          <w:rFonts w:ascii="Sylfaen" w:hAnsi="Sylfaen"/>
          <w:b/>
          <w:sz w:val="20"/>
          <w:szCs w:val="20"/>
          <w:lang w:val="ka-GE"/>
        </w:rPr>
        <w:t xml:space="preserve"> </w:t>
      </w:r>
      <w:r w:rsidRPr="005551A1">
        <w:rPr>
          <w:rFonts w:ascii="Sylfaen" w:hAnsi="Sylfaen" w:cs="Sylfaen"/>
          <w:b/>
          <w:sz w:val="20"/>
          <w:szCs w:val="20"/>
          <w:lang w:val="ka-GE"/>
        </w:rPr>
        <w:t>ე</w:t>
      </w:r>
      <w:r w:rsidRPr="005551A1">
        <w:rPr>
          <w:rFonts w:ascii="Sylfaen" w:hAnsi="Sylfaen"/>
          <w:b/>
          <w:sz w:val="20"/>
          <w:szCs w:val="20"/>
          <w:lang w:val="ka-GE"/>
        </w:rPr>
        <w:t>ნებზე) ხელმოწერილი „განაცხადი კეთილსინდისიერების შესახებ“, რომელიც თან ახლავს სატენდერო დოკუმენტაციას.</w:t>
      </w:r>
    </w:p>
    <w:p w14:paraId="49D14333" w14:textId="77777777" w:rsidR="005551A1" w:rsidRPr="00472883" w:rsidRDefault="005551A1" w:rsidP="005551A1">
      <w:pPr>
        <w:pStyle w:val="ListParagraph"/>
        <w:spacing w:after="0" w:line="360" w:lineRule="auto"/>
        <w:jc w:val="both"/>
        <w:rPr>
          <w:rFonts w:ascii="AcadNusx" w:hAnsi="AcadNusx"/>
          <w:b/>
          <w:sz w:val="20"/>
          <w:szCs w:val="20"/>
        </w:rPr>
      </w:pPr>
      <w:r w:rsidRPr="00472883">
        <w:rPr>
          <w:rFonts w:ascii="Sylfaen" w:hAnsi="Sylfaen"/>
          <w:b/>
          <w:color w:val="FF0000"/>
          <w:sz w:val="20"/>
          <w:szCs w:val="20"/>
          <w:lang w:val="ka-GE"/>
        </w:rPr>
        <w:t xml:space="preserve">გთხოვთ </w:t>
      </w:r>
      <w:r w:rsidRPr="002917E1">
        <w:rPr>
          <w:rFonts w:ascii="Sylfaen" w:hAnsi="Sylfaen"/>
          <w:b/>
          <w:color w:val="FF0000"/>
          <w:sz w:val="20"/>
          <w:szCs w:val="20"/>
          <w:lang w:val="ka-GE"/>
        </w:rPr>
        <w:t xml:space="preserve">გაითვალისწინეთ: </w:t>
      </w:r>
      <w:r w:rsidRPr="002917E1">
        <w:rPr>
          <w:rFonts w:ascii="Sylfaen" w:hAnsi="Sylfaen"/>
          <w:b/>
          <w:color w:val="FF0000"/>
          <w:sz w:val="20"/>
          <w:szCs w:val="20"/>
          <w:u w:val="single"/>
          <w:lang w:val="ka-GE"/>
        </w:rPr>
        <w:t>აღნიშნული დოკუმენტის ხელმოწერილი ვერსიის წარმოდგენის გარეშე თქვენი წინადადება არ განიხილება.</w:t>
      </w:r>
    </w:p>
    <w:p w14:paraId="7680A078" w14:textId="77777777" w:rsidR="005551A1" w:rsidRPr="00677E39" w:rsidRDefault="005551A1" w:rsidP="005551A1">
      <w:pPr>
        <w:pStyle w:val="ListParagraph"/>
        <w:spacing w:after="0" w:line="360" w:lineRule="auto"/>
        <w:ind w:left="-270"/>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62E9EF65" w14:textId="3B90CE1E" w:rsidR="00C01CD2" w:rsidRPr="00AF56A2" w:rsidRDefault="00586C84" w:rsidP="00E55D3F">
      <w:pPr>
        <w:pStyle w:val="ListParagraph"/>
        <w:numPr>
          <w:ilvl w:val="0"/>
          <w:numId w:val="8"/>
        </w:numPr>
        <w:spacing w:after="0" w:line="360" w:lineRule="auto"/>
        <w:ind w:left="-270" w:hanging="45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E55D3F">
      <w:pPr>
        <w:pStyle w:val="ListParagraph"/>
        <w:numPr>
          <w:ilvl w:val="1"/>
          <w:numId w:val="8"/>
        </w:numPr>
        <w:spacing w:after="0" w:line="360" w:lineRule="auto"/>
        <w:ind w:left="-270" w:hanging="450"/>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E55D3F">
      <w:pPr>
        <w:spacing w:after="0" w:line="360" w:lineRule="auto"/>
        <w:ind w:left="-270" w:hanging="450"/>
        <w:jc w:val="both"/>
        <w:rPr>
          <w:rFonts w:ascii="Sylfaen" w:hAnsi="Sylfaen"/>
          <w:sz w:val="20"/>
          <w:szCs w:val="20"/>
        </w:rPr>
      </w:pPr>
    </w:p>
    <w:p w14:paraId="2728D652" w14:textId="477890C6" w:rsidR="00110CCE" w:rsidRPr="00D20CC6" w:rsidRDefault="00586C84" w:rsidP="00E55D3F">
      <w:pPr>
        <w:pStyle w:val="ListParagraph"/>
        <w:tabs>
          <w:tab w:val="left" w:pos="426"/>
        </w:tabs>
        <w:spacing w:before="240" w:after="0" w:line="240" w:lineRule="auto"/>
        <w:ind w:left="-72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E55D3F">
      <w:pPr>
        <w:pStyle w:val="ListParagraph"/>
        <w:tabs>
          <w:tab w:val="left" w:pos="426"/>
        </w:tabs>
        <w:spacing w:before="240" w:after="0" w:line="240" w:lineRule="auto"/>
        <w:ind w:left="-720"/>
        <w:jc w:val="both"/>
        <w:rPr>
          <w:rFonts w:ascii="AcadNusx" w:eastAsiaTheme="minorHAnsi" w:hAnsi="AcadNusx"/>
          <w:sz w:val="20"/>
          <w:szCs w:val="20"/>
        </w:rPr>
      </w:pPr>
    </w:p>
    <w:p w14:paraId="3ABAEF5D" w14:textId="77777777" w:rsidR="00110CCE" w:rsidRPr="006C1436" w:rsidRDefault="00110CCE" w:rsidP="00E55D3F">
      <w:pPr>
        <w:pStyle w:val="ListParagraph"/>
        <w:tabs>
          <w:tab w:val="left" w:pos="426"/>
        </w:tabs>
        <w:spacing w:before="240" w:after="0" w:line="240" w:lineRule="auto"/>
        <w:ind w:left="-720"/>
        <w:jc w:val="both"/>
        <w:rPr>
          <w:rFonts w:ascii="AcadNusx" w:eastAsiaTheme="minorHAnsi" w:hAnsi="AcadNusx"/>
          <w:sz w:val="20"/>
          <w:szCs w:val="20"/>
        </w:rPr>
      </w:pPr>
    </w:p>
    <w:p w14:paraId="307D9283" w14:textId="07443AEC" w:rsidR="00110CCE" w:rsidRPr="00586C84" w:rsidRDefault="00D20CC6" w:rsidP="00E55D3F">
      <w:pPr>
        <w:pStyle w:val="ListParagraph"/>
        <w:tabs>
          <w:tab w:val="left" w:pos="426"/>
        </w:tabs>
        <w:spacing w:before="240" w:after="0" w:line="240" w:lineRule="auto"/>
        <w:ind w:left="-72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E55D3F">
      <w:pPr>
        <w:pStyle w:val="ListParagraph"/>
        <w:tabs>
          <w:tab w:val="left" w:pos="426"/>
        </w:tabs>
        <w:spacing w:before="240" w:after="0" w:line="240" w:lineRule="auto"/>
        <w:ind w:left="-720"/>
        <w:jc w:val="both"/>
        <w:rPr>
          <w:rFonts w:ascii="AcadNusx" w:eastAsiaTheme="minorHAnsi" w:hAnsi="AcadNusx"/>
          <w:sz w:val="20"/>
          <w:szCs w:val="20"/>
        </w:rPr>
      </w:pPr>
    </w:p>
    <w:p w14:paraId="7954CF42" w14:textId="32C38A79" w:rsidR="003C6F22" w:rsidRDefault="00B5452A" w:rsidP="0092675E">
      <w:pPr>
        <w:ind w:left="-720"/>
        <w:jc w:val="both"/>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bookmarkStart w:id="3" w:name="_MON_1572782613"/>
    <w:bookmarkEnd w:id="3"/>
    <w:p w14:paraId="39CEAC59" w14:textId="658AA16C" w:rsidR="00BA3DAD" w:rsidRDefault="00E55D3F" w:rsidP="0092675E">
      <w:pPr>
        <w:ind w:left="-720"/>
        <w:rPr>
          <w:rFonts w:ascii="Sylfaen" w:hAnsi="Sylfaen"/>
          <w:i/>
          <w:iCs/>
          <w:sz w:val="20"/>
          <w:szCs w:val="20"/>
          <w:lang w:val="ka-GE"/>
        </w:rPr>
      </w:pPr>
      <w:r>
        <w:rPr>
          <w:rFonts w:ascii="Sylfaen" w:hAnsi="Sylfaen"/>
          <w:i/>
          <w:iCs/>
          <w:sz w:val="20"/>
          <w:szCs w:val="20"/>
          <w:lang w:val="ka-GE"/>
        </w:rPr>
        <w:object w:dxaOrig="1534" w:dyaOrig="994" w14:anchorId="0EDBD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590848218" r:id="rId10"/>
        </w:object>
      </w:r>
    </w:p>
    <w:sectPr w:rsidR="00BA3DAD" w:rsidSect="006C1436">
      <w:headerReference w:type="default" r:id="rId11"/>
      <w:footerReference w:type="default" r:id="rId12"/>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0D4E5" w14:textId="77777777" w:rsidR="00966FE2" w:rsidRDefault="00966FE2" w:rsidP="007902EA">
      <w:pPr>
        <w:spacing w:after="0" w:line="240" w:lineRule="auto"/>
      </w:pPr>
      <w:r>
        <w:separator/>
      </w:r>
    </w:p>
  </w:endnote>
  <w:endnote w:type="continuationSeparator" w:id="0">
    <w:p w14:paraId="5522ABCF" w14:textId="77777777" w:rsidR="00966FE2" w:rsidRDefault="00966FE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E52E1A7" w:rsidR="004A3BD8" w:rsidRDefault="004A3BD8">
        <w:pPr>
          <w:pStyle w:val="Footer"/>
          <w:jc w:val="right"/>
        </w:pPr>
        <w:r>
          <w:fldChar w:fldCharType="begin"/>
        </w:r>
        <w:r>
          <w:instrText xml:space="preserve"> PAGE   \* MERGEFORMAT </w:instrText>
        </w:r>
        <w:r>
          <w:fldChar w:fldCharType="separate"/>
        </w:r>
        <w:r w:rsidR="005576D5">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18A2" w14:textId="77777777" w:rsidR="00966FE2" w:rsidRDefault="00966FE2" w:rsidP="007902EA">
      <w:pPr>
        <w:spacing w:after="0" w:line="240" w:lineRule="auto"/>
      </w:pPr>
      <w:r>
        <w:separator/>
      </w:r>
    </w:p>
  </w:footnote>
  <w:footnote w:type="continuationSeparator" w:id="0">
    <w:p w14:paraId="6F8AB41C" w14:textId="77777777" w:rsidR="00966FE2" w:rsidRDefault="00966FE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1A6E1DEF"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BB2543">
      <w:rPr>
        <w:rFonts w:ascii="Sylfaen" w:hAnsi="Sylfaen"/>
        <w:b/>
        <w:sz w:val="18"/>
        <w:szCs w:val="18"/>
        <w:lang w:val="ka-GE"/>
      </w:rPr>
      <w:t>ჰორიზონტალური ბურღვის მომსახურების</w:t>
    </w:r>
    <w:r w:rsidR="0092664D">
      <w:rPr>
        <w:rFonts w:ascii="Sylfaen" w:hAnsi="Sylfaen"/>
        <w:b/>
        <w:sz w:val="18"/>
        <w:szCs w:val="18"/>
        <w:lang w:val="ka-GE"/>
      </w:rPr>
      <w:t xml:space="preserve"> </w:t>
    </w:r>
    <w:r w:rsidR="00E33A8F">
      <w:rPr>
        <w:rFonts w:ascii="Sylfaen" w:hAnsi="Sylfaen"/>
        <w:b/>
        <w:sz w:val="18"/>
        <w:szCs w:val="18"/>
        <w:lang w:val="ka-GE"/>
      </w:rPr>
      <w:t>შესყიდვაზე</w:t>
    </w:r>
    <w:r w:rsidRPr="00AE4033">
      <w:rPr>
        <w:rFonts w:ascii="AcadNusx" w:hAnsi="AcadNusx"/>
        <w:b/>
        <w:sz w:val="18"/>
        <w:szCs w:val="18"/>
      </w:rPr>
      <w:t xml:space="preserve"> </w:t>
    </w:r>
  </w:p>
  <w:p w14:paraId="2405FA22" w14:textId="074EB297"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DC0D67">
      <w:rPr>
        <w:rFonts w:ascii="Sylfaen" w:hAnsi="Sylfaen" w:cs="Sylfaen"/>
        <w:b/>
        <w:sz w:val="20"/>
        <w:szCs w:val="20"/>
        <w:lang w:val="ka-GE"/>
      </w:rPr>
      <w:t>0</w:t>
    </w:r>
    <w:r w:rsidR="0032073D">
      <w:rPr>
        <w:rFonts w:ascii="Sylfaen" w:hAnsi="Sylfaen" w:cs="Sylfaen"/>
        <w:b/>
        <w:sz w:val="20"/>
        <w:szCs w:val="20"/>
      </w:rPr>
      <w:t>59</w:t>
    </w:r>
    <w:r w:rsidR="007778CE">
      <w:rPr>
        <w:rFonts w:ascii="Sylfaen" w:hAnsi="Sylfaen" w:cs="Sylfaen"/>
        <w:b/>
        <w:sz w:val="20"/>
        <w:szCs w:val="20"/>
        <w:lang w:val="ka-GE"/>
      </w:rPr>
      <w:t>-</w:t>
    </w:r>
    <w:r w:rsidR="007778CE">
      <w:rPr>
        <w:rFonts w:ascii="Sylfaen" w:hAnsi="Sylfaen" w:cs="Sylfaen"/>
        <w:b/>
        <w:sz w:val="20"/>
        <w:szCs w:val="20"/>
        <w:lang w:val="en-GB"/>
      </w:rPr>
      <w:t>BID-</w:t>
    </w:r>
    <w:r w:rsidR="0032073D">
      <w:rPr>
        <w:rFonts w:ascii="Sylfaen" w:hAnsi="Sylfaen" w:cs="Sylfaen"/>
        <w:b/>
        <w:sz w:val="20"/>
        <w:szCs w:val="20"/>
        <w:lang w:val="en-GB"/>
      </w:rPr>
      <w:t>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81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0"/>
  </w:num>
  <w:num w:numId="3">
    <w:abstractNumId w:val="1"/>
  </w:num>
  <w:num w:numId="4">
    <w:abstractNumId w:val="21"/>
  </w:num>
  <w:num w:numId="5">
    <w:abstractNumId w:val="9"/>
  </w:num>
  <w:num w:numId="6">
    <w:abstractNumId w:val="4"/>
  </w:num>
  <w:num w:numId="7">
    <w:abstractNumId w:val="3"/>
  </w:num>
  <w:num w:numId="8">
    <w:abstractNumId w:val="16"/>
  </w:num>
  <w:num w:numId="9">
    <w:abstractNumId w:val="18"/>
  </w:num>
  <w:num w:numId="10">
    <w:abstractNumId w:val="11"/>
  </w:num>
  <w:num w:numId="11">
    <w:abstractNumId w:val="6"/>
  </w:num>
  <w:num w:numId="12">
    <w:abstractNumId w:val="8"/>
  </w:num>
  <w:num w:numId="13">
    <w:abstractNumId w:val="15"/>
  </w:num>
  <w:num w:numId="14">
    <w:abstractNumId w:val="12"/>
  </w:num>
  <w:num w:numId="15">
    <w:abstractNumId w:val="7"/>
  </w:num>
  <w:num w:numId="16">
    <w:abstractNumId w:val="17"/>
  </w:num>
  <w:num w:numId="17">
    <w:abstractNumId w:val="14"/>
  </w:num>
  <w:num w:numId="18">
    <w:abstractNumId w:val="13"/>
  </w:num>
  <w:num w:numId="19">
    <w:abstractNumId w:val="5"/>
  </w:num>
  <w:num w:numId="20">
    <w:abstractNumId w:val="2"/>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73D"/>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4C19"/>
    <w:rsid w:val="003F5521"/>
    <w:rsid w:val="003F699A"/>
    <w:rsid w:val="00410EC6"/>
    <w:rsid w:val="00430AF7"/>
    <w:rsid w:val="00431665"/>
    <w:rsid w:val="004375BF"/>
    <w:rsid w:val="00442F86"/>
    <w:rsid w:val="004446E6"/>
    <w:rsid w:val="00446516"/>
    <w:rsid w:val="004533A4"/>
    <w:rsid w:val="00474D92"/>
    <w:rsid w:val="00483B17"/>
    <w:rsid w:val="0048659C"/>
    <w:rsid w:val="00497393"/>
    <w:rsid w:val="004A3BD8"/>
    <w:rsid w:val="004B09C9"/>
    <w:rsid w:val="004D3679"/>
    <w:rsid w:val="004D3D1C"/>
    <w:rsid w:val="004D747F"/>
    <w:rsid w:val="00544856"/>
    <w:rsid w:val="005551A1"/>
    <w:rsid w:val="005553C3"/>
    <w:rsid w:val="005576D5"/>
    <w:rsid w:val="00580531"/>
    <w:rsid w:val="005832A4"/>
    <w:rsid w:val="00583B48"/>
    <w:rsid w:val="00586056"/>
    <w:rsid w:val="00586C84"/>
    <w:rsid w:val="00595E4B"/>
    <w:rsid w:val="005C14A4"/>
    <w:rsid w:val="005D3B83"/>
    <w:rsid w:val="005E05B1"/>
    <w:rsid w:val="005E0EA9"/>
    <w:rsid w:val="00610FC8"/>
    <w:rsid w:val="006267A2"/>
    <w:rsid w:val="00630933"/>
    <w:rsid w:val="00632910"/>
    <w:rsid w:val="00633210"/>
    <w:rsid w:val="00634B58"/>
    <w:rsid w:val="00661B3E"/>
    <w:rsid w:val="00665219"/>
    <w:rsid w:val="00665C42"/>
    <w:rsid w:val="00667B1F"/>
    <w:rsid w:val="00670B37"/>
    <w:rsid w:val="00674470"/>
    <w:rsid w:val="00674F71"/>
    <w:rsid w:val="00677E39"/>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201B0"/>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2114"/>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15880"/>
    <w:rsid w:val="00922889"/>
    <w:rsid w:val="0092664D"/>
    <w:rsid w:val="0092675E"/>
    <w:rsid w:val="009567A7"/>
    <w:rsid w:val="009621F5"/>
    <w:rsid w:val="00966FE2"/>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2F93"/>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3557"/>
    <w:rsid w:val="00AF56A2"/>
    <w:rsid w:val="00B07BFB"/>
    <w:rsid w:val="00B110A0"/>
    <w:rsid w:val="00B137F3"/>
    <w:rsid w:val="00B156A3"/>
    <w:rsid w:val="00B23313"/>
    <w:rsid w:val="00B30838"/>
    <w:rsid w:val="00B34C80"/>
    <w:rsid w:val="00B42689"/>
    <w:rsid w:val="00B47896"/>
    <w:rsid w:val="00B47D4C"/>
    <w:rsid w:val="00B5452A"/>
    <w:rsid w:val="00B830F8"/>
    <w:rsid w:val="00B942E0"/>
    <w:rsid w:val="00B97F4F"/>
    <w:rsid w:val="00BA3DAD"/>
    <w:rsid w:val="00BB0F01"/>
    <w:rsid w:val="00BB2543"/>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032F"/>
    <w:rsid w:val="00DB4D6B"/>
    <w:rsid w:val="00DB77E8"/>
    <w:rsid w:val="00DC0D67"/>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5D3F"/>
    <w:rsid w:val="00E57F10"/>
    <w:rsid w:val="00E6248F"/>
    <w:rsid w:val="00E65074"/>
    <w:rsid w:val="00E6523B"/>
    <w:rsid w:val="00E751A2"/>
    <w:rsid w:val="00E8779B"/>
    <w:rsid w:val="00E94223"/>
    <w:rsid w:val="00E95292"/>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BEB"/>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0A1BFCC2-4380-4E8E-A9DB-AB81F62B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Demetrashvili</cp:lastModifiedBy>
  <cp:revision>10</cp:revision>
  <cp:lastPrinted>2017-11-21T11:17:00Z</cp:lastPrinted>
  <dcterms:created xsi:type="dcterms:W3CDTF">2017-11-13T09:28:00Z</dcterms:created>
  <dcterms:modified xsi:type="dcterms:W3CDTF">2018-06-18T13:31:00Z</dcterms:modified>
</cp:coreProperties>
</file>