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634558" w:rsidRPr="006E4EEA" w:rsidRDefault="00C57749" w:rsidP="00C57749">
      <w:pPr>
        <w:rPr>
          <w:rFonts w:ascii="AcadNusx" w:hAnsi="AcadNusx"/>
          <w:b/>
          <w:bCs/>
          <w:lang w:val="ka-GE"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6876A3">
        <w:rPr>
          <w:rFonts w:ascii="Sylfaen" w:hAnsi="Sylfaen"/>
          <w:bCs/>
          <w:lang w:val="ka-GE"/>
        </w:rPr>
        <w:t>აპარატურულ-</w:t>
      </w:r>
      <w:r w:rsidR="006E4EEA">
        <w:rPr>
          <w:rFonts w:ascii="Sylfaen" w:hAnsi="Sylfaen"/>
          <w:bCs/>
          <w:lang w:val="ka-GE"/>
        </w:rPr>
        <w:t xml:space="preserve">პროგრამული უზრუნველყოფის შეძენაზე: </w:t>
      </w:r>
    </w:p>
    <w:p w:rsidR="00CB36D1" w:rsidRDefault="00C57749" w:rsidP="006876A3">
      <w:pPr>
        <w:rPr>
          <w:rFonts w:ascii="Sylfaen" w:hAnsi="Sylfaen"/>
          <w:b/>
          <w:bCs/>
          <w:lang w:val="ka-GE"/>
        </w:rPr>
      </w:pPr>
      <w:r w:rsidRPr="00C57749">
        <w:rPr>
          <w:rFonts w:ascii="Sylfaen" w:hAnsi="Sylfaen"/>
          <w:b/>
          <w:bCs/>
          <w:lang w:val="ka-GE"/>
        </w:rPr>
        <w:t>ცხრილი:</w:t>
      </w:r>
      <w:bookmarkStart w:id="0" w:name="_GoBack"/>
      <w:bookmarkEnd w:id="0"/>
    </w:p>
    <w:tbl>
      <w:tblPr>
        <w:tblW w:w="10606" w:type="dxa"/>
        <w:tblLayout w:type="fixed"/>
        <w:tblLook w:val="04A0" w:firstRow="1" w:lastRow="0" w:firstColumn="1" w:lastColumn="0" w:noHBand="0" w:noVBand="1"/>
      </w:tblPr>
      <w:tblGrid>
        <w:gridCol w:w="2743"/>
        <w:gridCol w:w="6930"/>
        <w:gridCol w:w="933"/>
      </w:tblGrid>
      <w:tr w:rsidR="006876A3" w:rsidRPr="006876A3" w:rsidTr="002D141D">
        <w:trPr>
          <w:trHeight w:val="291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6876A3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6876A3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proofErr w:type="spellStart"/>
            <w:r w:rsidRPr="006876A3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Qty</w:t>
            </w:r>
            <w:proofErr w:type="spellEnd"/>
          </w:p>
        </w:tc>
      </w:tr>
      <w:tr w:rsidR="006876A3" w:rsidRPr="006876A3" w:rsidTr="002D141D">
        <w:trPr>
          <w:trHeight w:val="291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AIR-AP1815I-I-K9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Cisco </w:t>
            </w:r>
            <w:proofErr w:type="spellStart"/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Aironet</w:t>
            </w:r>
            <w:proofErr w:type="spellEnd"/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1815i Series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876A3" w:rsidRPr="006876A3" w:rsidTr="002D141D">
        <w:trPr>
          <w:trHeight w:val="291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L-LIC-CT5508-50A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AP Adder License for the 5508 Controller (</w:t>
            </w:r>
            <w:proofErr w:type="spellStart"/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eDelivery</w:t>
            </w:r>
            <w:proofErr w:type="spellEnd"/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876A3" w:rsidRPr="006876A3" w:rsidTr="002D141D">
        <w:trPr>
          <w:trHeight w:val="291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CON-ECMUS-LCT50A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SOLN SUPP SWSS 50 AP Adder License for the 5508 Control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876A3" w:rsidRPr="006876A3" w:rsidTr="002D141D">
        <w:trPr>
          <w:trHeight w:val="291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L-LIC-CT5508-5A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AP Adder License for the 5508 Controller(</w:t>
            </w:r>
            <w:proofErr w:type="spellStart"/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eDelivery</w:t>
            </w:r>
            <w:proofErr w:type="spellEnd"/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876A3" w:rsidRPr="006876A3" w:rsidTr="002D141D">
        <w:trPr>
          <w:trHeight w:val="291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CON-ECMUS-LICCT55A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SOLN SUPP SWSS 5 AP Adder License for the 5508 </w:t>
            </w:r>
            <w:proofErr w:type="spellStart"/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Controll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6876A3" w:rsidRPr="006876A3" w:rsidTr="002D141D">
        <w:trPr>
          <w:trHeight w:val="291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AAAA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-BBBB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Installation and Startup Services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A3" w:rsidRPr="006876A3" w:rsidRDefault="006876A3" w:rsidP="00687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76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511F3" w:rsidRDefault="00F511F3" w:rsidP="0098394A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760A82" w:rsidRPr="00CB36D1" w:rsidRDefault="0098394A" w:rsidP="0082264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91682C" w:rsidRDefault="0091682C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73069" w:rsidRPr="0098394A" w:rsidRDefault="00373069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1F2483">
        <w:rPr>
          <w:rFonts w:ascii="Sylfaen" w:hAnsi="Sylfaen"/>
          <w:bCs/>
          <w:lang w:val="ka-GE"/>
        </w:rPr>
        <w:t>3</w:t>
      </w:r>
      <w:r w:rsidR="00E147EF">
        <w:rPr>
          <w:rFonts w:ascii="Sylfaen" w:hAnsi="Sylfaen"/>
          <w:bCs/>
          <w:lang w:val="ka-GE"/>
        </w:rPr>
        <w:t xml:space="preserve"> </w:t>
      </w:r>
      <w:r w:rsidR="001F2483">
        <w:rPr>
          <w:rFonts w:ascii="Sylfaen" w:hAnsi="Sylfaen"/>
          <w:bCs/>
          <w:lang w:val="ka-GE"/>
        </w:rPr>
        <w:t>აგვისტოდან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1F2483">
        <w:rPr>
          <w:rFonts w:ascii="Sylfaen" w:hAnsi="Sylfaen"/>
          <w:bCs/>
        </w:rPr>
        <w:t>9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1F2483">
        <w:rPr>
          <w:rFonts w:ascii="Sylfaen" w:hAnsi="Sylfaen"/>
          <w:bCs/>
          <w:lang w:val="ka-GE"/>
        </w:rPr>
        <w:t>აგვისტოს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CB36D1" w:rsidRDefault="00CB36D1" w:rsidP="00CB36D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ლევან ჯიქიას +995 577 474 484 </w:t>
      </w:r>
      <w:hyperlink r:id="rId9" w:history="1">
        <w:r w:rsidRPr="009C52BF">
          <w:rPr>
            <w:rStyle w:val="Hyperlink"/>
            <w:rFonts w:ascii="Sylfaen" w:hAnsi="Sylfaen"/>
            <w:b/>
            <w:bCs/>
          </w:rPr>
          <w:t>ljikia@bog.ge</w:t>
        </w:r>
      </w:hyperlink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8A25C7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="008A25C7">
        <w:rPr>
          <w:rFonts w:ascii="Sylfaen" w:hAnsi="Sylfaen"/>
          <w:b/>
          <w:bCs/>
          <w:lang w:val="ka-GE"/>
        </w:rPr>
        <w:t xml:space="preserve">+995 577 </w:t>
      </w:r>
      <w:r w:rsidRPr="005C2187">
        <w:rPr>
          <w:rFonts w:ascii="Sylfaen" w:hAnsi="Sylfaen"/>
          <w:b/>
          <w:bCs/>
          <w:lang w:val="ka-GE"/>
        </w:rPr>
        <w:t>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="008A25C7">
        <w:rPr>
          <w:rFonts w:ascii="Sylfaen" w:hAnsi="Sylfaen"/>
          <w:b/>
          <w:bCs/>
          <w:lang w:val="ka-GE"/>
        </w:rPr>
        <w:t xml:space="preserve"> +995 599 </w:t>
      </w:r>
      <w:r w:rsidRPr="005C2187">
        <w:rPr>
          <w:rFonts w:ascii="Sylfaen" w:hAnsi="Sylfaen"/>
          <w:b/>
          <w:bCs/>
          <w:lang w:val="ka-GE"/>
        </w:rPr>
        <w:t>915078</w:t>
      </w:r>
    </w:p>
    <w:sectPr w:rsidR="005C2187" w:rsidRPr="00F3144D" w:rsidSect="00CB36D1">
      <w:pgSz w:w="12240" w:h="15840"/>
      <w:pgMar w:top="36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4" w:rsidRDefault="00700334" w:rsidP="00CF75CA">
      <w:pPr>
        <w:spacing w:after="0" w:line="240" w:lineRule="auto"/>
      </w:pPr>
      <w:r>
        <w:separator/>
      </w:r>
    </w:p>
  </w:endnote>
  <w:endnote w:type="continuationSeparator" w:id="0">
    <w:p w:rsidR="00700334" w:rsidRDefault="00700334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4" w:rsidRDefault="00700334" w:rsidP="00CF75CA">
      <w:pPr>
        <w:spacing w:after="0" w:line="240" w:lineRule="auto"/>
      </w:pPr>
      <w:r>
        <w:separator/>
      </w:r>
    </w:p>
  </w:footnote>
  <w:footnote w:type="continuationSeparator" w:id="0">
    <w:p w:rsidR="00700334" w:rsidRDefault="00700334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55235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1F2483"/>
    <w:rsid w:val="0025786D"/>
    <w:rsid w:val="00260430"/>
    <w:rsid w:val="0027576F"/>
    <w:rsid w:val="002A331A"/>
    <w:rsid w:val="002C7891"/>
    <w:rsid w:val="002D141D"/>
    <w:rsid w:val="002D35E9"/>
    <w:rsid w:val="002E128A"/>
    <w:rsid w:val="002E5736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3069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B3D"/>
    <w:rsid w:val="004C0E67"/>
    <w:rsid w:val="004C3AB1"/>
    <w:rsid w:val="004C7CAD"/>
    <w:rsid w:val="004F2102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34AE"/>
    <w:rsid w:val="00654255"/>
    <w:rsid w:val="006876A3"/>
    <w:rsid w:val="00694FB5"/>
    <w:rsid w:val="006B3704"/>
    <w:rsid w:val="006C6323"/>
    <w:rsid w:val="006C736A"/>
    <w:rsid w:val="006D58D9"/>
    <w:rsid w:val="006E13DE"/>
    <w:rsid w:val="006E284E"/>
    <w:rsid w:val="006E4EEA"/>
    <w:rsid w:val="00700334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35B5"/>
    <w:rsid w:val="0082264E"/>
    <w:rsid w:val="0082397D"/>
    <w:rsid w:val="00844DB5"/>
    <w:rsid w:val="00853D26"/>
    <w:rsid w:val="00857B70"/>
    <w:rsid w:val="008730BF"/>
    <w:rsid w:val="00896C54"/>
    <w:rsid w:val="008A25C7"/>
    <w:rsid w:val="008A3F6B"/>
    <w:rsid w:val="008A7D09"/>
    <w:rsid w:val="008B396C"/>
    <w:rsid w:val="008C3FA2"/>
    <w:rsid w:val="008E52CC"/>
    <w:rsid w:val="008E5BAE"/>
    <w:rsid w:val="0091682C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B36D1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DF7057"/>
    <w:rsid w:val="00E147EF"/>
    <w:rsid w:val="00E642E4"/>
    <w:rsid w:val="00EC01FF"/>
    <w:rsid w:val="00ED30C5"/>
    <w:rsid w:val="00F17E73"/>
    <w:rsid w:val="00F3144D"/>
    <w:rsid w:val="00F46FAF"/>
    <w:rsid w:val="00F511F3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jiki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A0B2-C360-4ABE-AFD6-E81AEFCA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73</cp:revision>
  <cp:lastPrinted>2012-04-03T09:14:00Z</cp:lastPrinted>
  <dcterms:created xsi:type="dcterms:W3CDTF">2016-05-30T10:14:00Z</dcterms:created>
  <dcterms:modified xsi:type="dcterms:W3CDTF">2018-08-03T05:30:00Z</dcterms:modified>
</cp:coreProperties>
</file>